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meridian-audit-advisory-llp"/>
    <w:p>
      <w:pPr>
        <w:pStyle w:val="Heading1"/>
      </w:pPr>
      <w:r>
        <w:t xml:space="preserve">Meridian Audit &amp; Advisory LLP</w:t>
      </w:r>
    </w:p>
    <w:p>
      <w:pPr>
        <w:pStyle w:val="FirstParagraph"/>
      </w:pPr>
      <w:r>
        <w:t xml:space="preserve">House 42, Road 11, Banani, Dhaka-1213, Bangladesh</w:t>
      </w:r>
    </w:p>
    <w:p>
      <w:pPr>
        <w:pStyle w:val="BodyText"/>
      </w:pPr>
      <w:r>
        <w:t xml:space="preserve">Tel: +880-2-9887654 | Email: billing@meridianaudit.com.bd</w:t>
      </w:r>
    </w:p>
    <w:p>
      <w:pPr>
        <w:pStyle w:val="BodyText"/>
      </w:pPr>
      <w:r>
        <w:t xml:space="preserve">TIN: 004567891 | VAT Reg: 00123456789</w:t>
      </w:r>
    </w:p>
    <w:p>
      <w:pPr>
        <w:pStyle w:val="BodyText"/>
      </w:pPr>
      <w:r>
        <w:t xml:space="preserve">Chartered Accountants | Bangladesh Institute of Chartered Accountants (BICA) Member</w:t>
      </w:r>
    </w:p>
    <w:bookmarkEnd w:id="20"/>
    <w:bookmarkStart w:id="21" w:name="invoice"/>
    <w:p>
      <w:pPr>
        <w:pStyle w:val="Heading2"/>
      </w:pPr>
      <w:r>
        <w:t xml:space="preserve">INVOICE</w:t>
      </w:r>
    </w:p>
    <w:p>
      <w:pPr>
        <w:pStyle w:val="FirstParagraph"/>
      </w:pPr>
      <w:r>
        <w:t xml:space="preserve">Auditor Services</w:t>
      </w:r>
    </w:p>
    <w:p>
      <w:pPr>
        <w:pStyle w:val="BodyText"/>
      </w:pPr>
      <w:r>
        <w:t xml:space="preserve">Invoice No: INV-2025-BD-00472</w:t>
      </w:r>
    </w:p>
    <w:p>
      <w:pPr>
        <w:pStyle w:val="BodyText"/>
      </w:pPr>
      <w:r>
        <w:t xml:space="preserve">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Padma Textile Industries Ltd.</w:t>
      </w:r>
    </w:p>
    <w:p>
      <w:pPr>
        <w:pStyle w:val="BodyText"/>
      </w:pPr>
      <w:r>
        <w:t xml:space="preserve">Plot 7, Industrial Area, Savar, Dhaka-1349, Bangladesh</w:t>
      </w:r>
    </w:p>
    <w:p>
      <w:pPr>
        <w:pStyle w:val="BodyText"/>
      </w:pPr>
      <w:r>
        <w:t xml:space="preserve">Attn: Mr. Rafiqul Islam, Chief Financial Officer</w:t>
      </w:r>
    </w:p>
    <w:p>
      <w:pPr>
        <w:pStyle w:val="BodyText"/>
      </w:pPr>
      <w:r>
        <w:t xml:space="preserve">TIN: 009876543 | Phone: +880-1711-234567</w:t>
      </w:r>
    </w:p>
    <w:bookmarkEnd w:id="22"/>
    <w:bookmarkStart w:id="23" w:name="prepared-by-auditor"/>
    <w:p>
      <w:pPr>
        <w:pStyle w:val="Heading3"/>
      </w:pPr>
      <w:r>
        <w:t xml:space="preserve">Prepared By (Auditor)</w:t>
      </w:r>
    </w:p>
    <w:p>
      <w:pPr>
        <w:pStyle w:val="FirstParagraph"/>
      </w:pPr>
      <w:r>
        <w:rPr>
          <w:bCs/>
          <w:b/>
        </w:rPr>
        <w:t xml:space="preserve">Mr. Kazi Mahmudul Hasan, FCA</w:t>
      </w:r>
    </w:p>
    <w:p>
      <w:pPr>
        <w:pStyle w:val="BodyText"/>
      </w:pPr>
      <w:r>
        <w:t xml:space="preserve">Lead Auditor, Meridian Audit &amp; Advisory LLP</w:t>
      </w:r>
    </w:p>
    <w:p>
      <w:pPr>
        <w:pStyle w:val="BodyText"/>
      </w:pPr>
      <w:r>
        <w:t xml:space="preserve">License No: BICA/2019/00342</w:t>
      </w:r>
    </w:p>
    <w:p>
      <w:pPr>
        <w:pStyle w:val="BodyText"/>
      </w:pPr>
      <w:r>
        <w:t xml:space="preserve">Engagement Ref: AUD-2025-DHAKA-118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Scope</w:t>
            </w:r>
          </w:p>
        </w:tc>
        <w:tc>
          <w:tcPr/>
          <w:p>
            <w:pPr>
              <w:pStyle w:val="Compact"/>
              <w:jc w:val="left"/>
            </w:pPr>
            <w:r>
              <w:t xml:space="preserve">Rate (BDT)</w:t>
            </w:r>
          </w:p>
        </w:tc>
        <w:tc>
          <w:tcPr/>
          <w:p>
            <w:pPr>
              <w:pStyle w:val="Compact"/>
              <w:jc w:val="left"/>
            </w:pPr>
            <w:r>
              <w:t xml:space="preserve">Qty / Hours</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Statutory Financial Audit of Annual Accounts (FY 2024-2025) as per Bangladesh Companies Act 2013 and IFRS compliance review</w:t>
            </w:r>
          </w:p>
        </w:tc>
        <w:tc>
          <w:tcPr/>
          <w:p>
            <w:pPr>
              <w:pStyle w:val="Compact"/>
              <w:jc w:val="left"/>
            </w:pPr>
            <w:r>
              <w:t xml:space="preserve">Jul 2024 – Jun 2025</w:t>
            </w:r>
          </w:p>
        </w:tc>
        <w:tc>
          <w:tcPr/>
          <w:p>
            <w:pPr>
              <w:pStyle w:val="Compact"/>
              <w:jc w:val="left"/>
            </w:pPr>
            <w:r>
              <w:t xml:space="preserve">2,500.00</w:t>
            </w:r>
          </w:p>
        </w:tc>
        <w:tc>
          <w:tcPr/>
          <w:p>
            <w:pPr>
              <w:pStyle w:val="Compact"/>
              <w:jc w:val="left"/>
            </w:pPr>
            <w:r>
              <w:t xml:space="preserve">120 hrs</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Internal Control Assessment and Risk-Based Audit Planning for Manufacturing Division, Dhaka Plant</w:t>
            </w:r>
          </w:p>
        </w:tc>
        <w:tc>
          <w:tcPr/>
          <w:p>
            <w:pPr>
              <w:pStyle w:val="Compact"/>
              <w:jc w:val="left"/>
            </w:pPr>
            <w:r>
              <w:t xml:space="preserve">Q1 – Q4 FY 2025</w:t>
            </w:r>
          </w:p>
        </w:tc>
        <w:tc>
          <w:tcPr/>
          <w:p>
            <w:pPr>
              <w:pStyle w:val="Compact"/>
              <w:jc w:val="left"/>
            </w:pPr>
            <w:r>
              <w:t xml:space="preserve">1,800.00</w:t>
            </w:r>
          </w:p>
        </w:tc>
        <w:tc>
          <w:tcPr/>
          <w:p>
            <w:pPr>
              <w:pStyle w:val="Compact"/>
              <w:jc w:val="left"/>
            </w:pPr>
            <w:r>
              <w:t xml:space="preserve">80 hrs</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Tax Audit and VAT Compliance Verification under Bangladesh Inland Revenue Board (NBR) regulations</w:t>
            </w:r>
          </w:p>
        </w:tc>
        <w:tc>
          <w:tcPr/>
          <w:p>
            <w:pPr>
              <w:pStyle w:val="Compact"/>
              <w:jc w:val="left"/>
            </w:pPr>
            <w:r>
              <w:t xml:space="preserve">FY 2024-2025</w:t>
            </w:r>
          </w:p>
        </w:tc>
        <w:tc>
          <w:tcPr/>
          <w:p>
            <w:pPr>
              <w:pStyle w:val="Compact"/>
              <w:jc w:val="left"/>
            </w:pPr>
            <w:r>
              <w:t xml:space="preserve">2,000.00</w:t>
            </w:r>
          </w:p>
        </w:tc>
        <w:tc>
          <w:tcPr/>
          <w:p>
            <w:pPr>
              <w:pStyle w:val="Compact"/>
              <w:jc w:val="left"/>
            </w:pPr>
            <w:r>
              <w:t xml:space="preserve">60 hrs</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Bank Reconciliation, Cash Verification, and Physical Inventory Count Supervision at Dhaka Warehouse</w:t>
            </w:r>
          </w:p>
        </w:tc>
        <w:tc>
          <w:tcPr/>
          <w:p>
            <w:pPr>
              <w:pStyle w:val="Compact"/>
              <w:jc w:val="left"/>
            </w:pPr>
            <w:r>
              <w:t xml:space="preserve">May 2025</w:t>
            </w:r>
          </w:p>
        </w:tc>
        <w:tc>
          <w:tcPr/>
          <w:p>
            <w:pPr>
              <w:pStyle w:val="Compact"/>
              <w:jc w:val="left"/>
            </w:pPr>
            <w:r>
              <w:t xml:space="preserve">1,500.00</w:t>
            </w:r>
          </w:p>
        </w:tc>
        <w:tc>
          <w:tcPr/>
          <w:p>
            <w:pPr>
              <w:pStyle w:val="Compact"/>
              <w:jc w:val="left"/>
            </w:pPr>
            <w:r>
              <w:t xml:space="preserve">40 hrs</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Preparation of Auditor's Report, Management Letter, and Compliance Certificate for submission to BSEC and NBR</w:t>
            </w:r>
          </w:p>
        </w:tc>
        <w:tc>
          <w:tcPr/>
          <w:p>
            <w:pPr>
              <w:pStyle w:val="Compact"/>
              <w:jc w:val="left"/>
            </w:pPr>
            <w:r>
              <w:t xml:space="preserve">Jun 2025</w:t>
            </w:r>
          </w:p>
        </w:tc>
        <w:tc>
          <w:tcPr/>
          <w:p>
            <w:pPr>
              <w:pStyle w:val="Compact"/>
              <w:jc w:val="left"/>
            </w:pPr>
            <w:r>
              <w:t xml:space="preserve">50,000.00</w:t>
            </w:r>
          </w:p>
        </w:tc>
        <w:tc>
          <w:tcPr/>
          <w:p>
            <w:pPr>
              <w:pStyle w:val="Compact"/>
              <w:jc w:val="left"/>
            </w:pPr>
            <w:r>
              <w:t xml:space="preserve">1 lot</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Travel, Accommodation, and Fieldwork Expenses for Auditor Team (Dhaka – Savar – Gazipur routes)</w:t>
            </w:r>
          </w:p>
        </w:tc>
        <w:tc>
          <w:tcPr/>
          <w:p>
            <w:pPr>
              <w:pStyle w:val="Compact"/>
              <w:jc w:val="left"/>
            </w:pPr>
            <w:r>
              <w:t xml:space="preserve">Apr – Jun 2025</w:t>
            </w:r>
          </w:p>
        </w:tc>
        <w:tc>
          <w:tcPr/>
          <w:p>
            <w:pPr>
              <w:pStyle w:val="Compact"/>
              <w:jc w:val="left"/>
            </w:pPr>
            <w:r>
              <w:t xml:space="preserve">15,000.00</w:t>
            </w:r>
          </w:p>
        </w:tc>
        <w:tc>
          <w:tcPr/>
          <w:p>
            <w:pPr>
              <w:pStyle w:val="Compact"/>
              <w:jc w:val="left"/>
            </w:pPr>
            <w:r>
              <w:t xml:space="preserve">1 lot</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689,000.00 BDT</w:t>
            </w:r>
          </w:p>
        </w:tc>
      </w:tr>
      <w:tr>
        <w:tc>
          <w:tcPr/>
          <w:p>
            <w:pPr>
              <w:pStyle w:val="Compact"/>
              <w:jc w:val="left"/>
            </w:pPr>
            <w:r>
              <w:t xml:space="preserve">VAT @ 15% (Bangladesh Standard Rate)</w:t>
            </w:r>
          </w:p>
        </w:tc>
        <w:tc>
          <w:tcPr/>
          <w:p>
            <w:pPr>
              <w:pStyle w:val="Compact"/>
              <w:jc w:val="left"/>
            </w:pPr>
            <w:r>
              <w:t xml:space="preserve">103,350.00 BDT</w:t>
            </w:r>
          </w:p>
        </w:tc>
      </w:tr>
      <w:tr>
        <w:tc>
          <w:tcPr/>
          <w:p>
            <w:pPr>
              <w:pStyle w:val="Compact"/>
              <w:jc w:val="left"/>
            </w:pPr>
            <w:r>
              <w:t xml:space="preserve">Withholding Tax @ 5% (as per NBR Circular)</w:t>
            </w:r>
          </w:p>
        </w:tc>
        <w:tc>
          <w:tcPr/>
          <w:p>
            <w:pPr>
              <w:pStyle w:val="Compact"/>
              <w:jc w:val="left"/>
            </w:pPr>
            <w:r>
              <w:t xml:space="preserve">(34,450.00) BDT</w:t>
            </w:r>
          </w:p>
        </w:tc>
      </w:tr>
      <w:tr>
        <w:tc>
          <w:tcPr/>
          <w:p>
            <w:pPr>
              <w:pStyle w:val="Compact"/>
              <w:jc w:val="left"/>
            </w:pPr>
            <w:r>
              <w:t xml:space="preserve">GRAND TOTAL PAYABLE</w:t>
            </w:r>
          </w:p>
        </w:tc>
        <w:tc>
          <w:tcPr/>
          <w:p>
            <w:pPr>
              <w:pStyle w:val="Compact"/>
              <w:jc w:val="left"/>
            </w:pPr>
            <w:r>
              <w:t xml:space="preserve">757,900.00 BDT</w:t>
            </w:r>
          </w:p>
        </w:tc>
      </w:tr>
    </w:tbl>
    <w:bookmarkStart w:id="24" w:name="payment-terms-instructions"/>
    <w:p>
      <w:pPr>
        <w:pStyle w:val="Heading3"/>
      </w:pPr>
      <w:r>
        <w:t xml:space="preserve">Payment Terms &amp; Instructions</w:t>
      </w:r>
    </w:p>
    <w:p>
      <w:pPr>
        <w:pStyle w:val="FirstParagraph"/>
      </w:pPr>
      <w:r>
        <w:t xml:space="preserve">This Invoice must be settled within 15 (fifteen) calendar days from the date of issue, i.e., on or before 30 June 2025. Payment is to be made in Bangladeshi Taka (BDT) via bank transfer to the following account:</w:t>
      </w:r>
    </w:p>
    <w:p>
      <w:pPr>
        <w:pStyle w:val="BodyText"/>
      </w:pPr>
      <w:r>
        <w:rPr>
          <w:bCs/>
          <w:b/>
        </w:rPr>
        <w:t xml:space="preserve">Bank:</w:t>
      </w:r>
      <w:r>
        <w:t xml:space="preserve"> </w:t>
      </w:r>
      <w:r>
        <w:t xml:space="preserve">Sonali Bank, Banani Branch, Dhaka, Bangladesh</w:t>
      </w:r>
    </w:p>
    <w:p>
      <w:pPr>
        <w:pStyle w:val="BodyText"/>
      </w:pPr>
      <w:r>
        <w:rPr>
          <w:bCs/>
          <w:b/>
        </w:rPr>
        <w:t xml:space="preserve">Account Name:</w:t>
      </w:r>
      <w:r>
        <w:t xml:space="preserve"> </w:t>
      </w:r>
      <w:r>
        <w:t xml:space="preserve">Meridian Audit &amp; Advisory LLP</w:t>
      </w:r>
    </w:p>
    <w:p>
      <w:pPr>
        <w:pStyle w:val="BodyText"/>
      </w:pPr>
      <w:r>
        <w:rPr>
          <w:bCs/>
          <w:b/>
        </w:rPr>
        <w:t xml:space="preserve">Account No:</w:t>
      </w:r>
      <w:r>
        <w:t xml:space="preserve"> </w:t>
      </w:r>
      <w:r>
        <w:t xml:space="preserve">101-0045-6789-01</w:t>
      </w:r>
    </w:p>
    <w:p>
      <w:pPr>
        <w:pStyle w:val="BodyText"/>
      </w:pPr>
      <w:r>
        <w:rPr>
          <w:bCs/>
          <w:b/>
        </w:rPr>
        <w:t xml:space="preserve">SWIFT Code:</w:t>
      </w:r>
      <w:r>
        <w:t xml:space="preserve"> </w:t>
      </w:r>
      <w:r>
        <w:t xml:space="preserve">SNLBBDDH</w:t>
      </w:r>
    </w:p>
    <w:p>
      <w:pPr>
        <w:pStyle w:val="BodyText"/>
      </w:pPr>
      <w:r>
        <w:t xml:space="preserve">Please reference Invoice No. INV-2025-BD-00472 in your payment remittance. A late payment penalty of 1.5% per month will be applied to any outstanding balance beyond the due date as per the Auditor engagement agreement signed in Bangladesh Dhaka.</w:t>
      </w:r>
    </w:p>
    <w:bookmarkEnd w:id="24"/>
    <w:bookmarkStart w:id="25" w:name="notes-auditors-declaration"/>
    <w:p>
      <w:pPr>
        <w:pStyle w:val="Heading3"/>
      </w:pPr>
      <w:r>
        <w:t xml:space="preserve">Notes &amp; Auditor's Declaration</w:t>
      </w:r>
    </w:p>
    <w:p>
      <w:pPr>
        <w:pStyle w:val="FirstParagraph"/>
      </w:pPr>
      <w:r>
        <w:t xml:space="preserve">This Invoice has been issued by the Lead Auditor, Mr. Kazi Mahmudul Hasan, FCA, in his capacity as the appointed statutory Auditor for Padma Textile Industries Ltd. for the financial year 2024-2025. All audit procedures were conducted in Bangladesh Dhaka and its surrounding industrial zones in strict compliance with the Bangladesh Standards on Auditing (BSA) issued by the Bangladesh Institute of Chartered Accountants (BICA).</w:t>
      </w:r>
    </w:p>
    <w:p>
      <w:pPr>
        <w:pStyle w:val="BodyText"/>
      </w:pPr>
      <w:r>
        <w:t xml:space="preserve">The Auditor confirms that all services rendered as detailed in this Invoice were performed with due professional care, independence, and objectivity. The Auditor's Report and all supporting working papers are available for review by the client's Board of Directors and the Bangladesh Securities and Exchange Commission (BSEC) upon request.</w:t>
      </w:r>
    </w:p>
    <w:p>
      <w:pPr>
        <w:pStyle w:val="BodyText"/>
      </w:pPr>
      <w:r>
        <w:t xml:space="preserve">This Invoice is valid for 30 days from the date of issue. Any queries regarding this Invoice or the scope of Auditor services should be directed to the billing department of Meridian Audit &amp; Advisory LLP, Banani, Dhaka, Bangladesh. Unauthorized reproduction or alteration of this Invoice document is strictly prohibited under the laws of Bangladesh.</w:t>
      </w:r>
    </w:p>
    <w:bookmarkEnd w:id="25"/>
    <w:p>
      <w:pPr>
        <w:pStyle w:val="BodyText"/>
      </w:pPr>
      <w:r>
        <w:rPr>
          <w:bCs/>
          <w:b/>
        </w:rPr>
        <w:t xml:space="preserve">Meridian Audit &amp; Advisory LLP</w:t>
      </w:r>
      <w:r>
        <w:t xml:space="preserve"> </w:t>
      </w:r>
      <w:r>
        <w:t xml:space="preserve">| Chartered Accountants | Bangladesh Dhaka</w:t>
      </w:r>
    </w:p>
    <w:p>
      <w:pPr>
        <w:pStyle w:val="BodyText"/>
      </w:pPr>
      <w:r>
        <w:t xml:space="preserve">House 42, Road 11, Banani, Dhaka-1213, Bangladesh | Tel: +880-2-9887654 | Email: billing@meridianaudit.com.bd</w:t>
      </w:r>
    </w:p>
    <w:p>
      <w:pPr>
        <w:pStyle w:val="BodyText"/>
      </w:pPr>
      <w:r>
        <w:t xml:space="preserve">This is a computer-generated Invoice and does not require a physical signature. The Auditor's digital seal and BICA license number serve as authentication.</w:t>
      </w:r>
    </w:p>
    <w:p>
      <w:pPr>
        <w:pStyle w:val="BodyText"/>
      </w:pPr>
      <w:r>
        <w:t xml:space="preserve">Page 1 of 1 | Generated on 15 June 2025 | Invoice Status:</w:t>
      </w:r>
      <w:r>
        <w:t xml:space="preserve"> </w:t>
      </w:r>
      <w:r>
        <w:rPr>
          <w:bCs/>
          <w:b/>
        </w:rPr>
        <w:t xml:space="preserve">UNPAID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Bangladesh Dhaka</dc:title>
  <dc:creator/>
  <dc:language>en</dc:language>
  <cp:keywords/>
  <dcterms:created xsi:type="dcterms:W3CDTF">2026-10-10T04:11:11Z</dcterms:created>
  <dcterms:modified xsi:type="dcterms:W3CDTF">2026-10-10T04:11:11Z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