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coastal-pacific-audit-advisory-llp"/>
    <w:p>
      <w:pPr>
        <w:pStyle w:val="Heading1"/>
      </w:pPr>
      <w:r>
        <w:t xml:space="preserve">Coastal Pacific Audit &amp; Advisory LLP</w:t>
      </w:r>
    </w:p>
    <w:p>
      <w:pPr>
        <w:pStyle w:val="FirstParagraph"/>
      </w:pPr>
      <w:r>
        <w:t xml:space="preserve">Professional Auditor Services</w:t>
      </w:r>
    </w:p>
    <w:p>
      <w:pPr>
        <w:pStyle w:val="BodyText"/>
      </w:pPr>
      <w:r>
        <w:t xml:space="preserve">1200 West Georgia Street, Suite 2400</w:t>
      </w:r>
    </w:p>
    <w:p>
      <w:pPr>
        <w:pStyle w:val="BodyText"/>
      </w:pPr>
      <w:r>
        <w:t xml:space="preserve">Vancouver, British Columbia V6E 4R2, Canada</w:t>
      </w:r>
    </w:p>
    <w:p>
      <w:pPr>
        <w:pStyle w:val="BodyText"/>
      </w:pPr>
      <w:r>
        <w:t xml:space="preserve">Phone: (604) 555-0187 | Email: billing@coastalpacificaudit.ca</w:t>
      </w:r>
    </w:p>
    <w:p>
      <w:pPr>
        <w:pStyle w:val="BodyText"/>
      </w:pPr>
      <w:r>
        <w:t xml:space="preserve">Business Number: 123456789 RT0001</w:t>
      </w:r>
    </w:p>
    <w:p>
      <w:pPr>
        <w:pStyle w:val="BodyText"/>
      </w:pPr>
      <w:r>
        <w:t xml:space="preserve">Chartered Professional Accountants (CPA)</w:t>
      </w:r>
    </w:p>
    <w:bookmarkEnd w:id="20"/>
    <w:bookmarkStart w:id="21" w:name="invoice"/>
    <w:p>
      <w:pPr>
        <w:pStyle w:val="Heading2"/>
      </w:pPr>
      <w:r>
        <w:t xml:space="preserve">INVOICE</w:t>
      </w:r>
    </w:p>
    <w:p>
      <w:pPr>
        <w:pStyle w:val="FirstParagraph"/>
      </w:pPr>
      <w:r>
        <w:t xml:space="preserve">Invoice No: CPA-2025-04872</w:t>
      </w:r>
    </w:p>
    <w:p>
      <w:pPr>
        <w:pStyle w:val="BodyText"/>
      </w:pPr>
      <w:r>
        <w:t xml:space="preserve">Date Issued: June 15, 2025</w:t>
      </w:r>
    </w:p>
    <w:p>
      <w:pPr>
        <w:pStyle w:val="BodyText"/>
      </w:pPr>
      <w:r>
        <w:t xml:space="preserve">Due Date: July 15, 2025</w:t>
      </w:r>
    </w:p>
    <w:p>
      <w:pPr>
        <w:pStyle w:val="BodyText"/>
      </w:pPr>
      <w:r>
        <w:t xml:space="preserve">Payment Terms: Net 30</w:t>
      </w:r>
    </w:p>
    <w:bookmarkEnd w:id="21"/>
    <w:bookmarkStart w:id="22" w:name="billed-to"/>
    <w:p>
      <w:pPr>
        <w:pStyle w:val="Heading3"/>
      </w:pPr>
      <w:r>
        <w:t xml:space="preserve">Billed To</w:t>
      </w:r>
    </w:p>
    <w:p>
      <w:pPr>
        <w:pStyle w:val="FirstParagraph"/>
      </w:pPr>
      <w:r>
        <w:rPr>
          <w:bCs/>
          <w:b/>
        </w:rPr>
        <w:t xml:space="preserve">Northwest Timber Holdings Inc.</w:t>
      </w:r>
    </w:p>
    <w:p>
      <w:pPr>
        <w:pStyle w:val="BodyText"/>
      </w:pPr>
      <w:r>
        <w:t xml:space="preserve">Attn: Margaret Chen, Chief Financial Officer</w:t>
      </w:r>
    </w:p>
    <w:p>
      <w:pPr>
        <w:pStyle w:val="BodyText"/>
      </w:pPr>
      <w:r>
        <w:t xml:space="preserve">4500 Burrard Street, Floor 18</w:t>
      </w:r>
    </w:p>
    <w:p>
      <w:pPr>
        <w:pStyle w:val="BodyText"/>
      </w:pPr>
      <w:r>
        <w:t xml:space="preserve">Vancouver, British Columbia V6B 1A1, Canada</w:t>
      </w:r>
    </w:p>
    <w:p>
      <w:pPr>
        <w:pStyle w:val="BodyText"/>
      </w:pPr>
      <w:r>
        <w:t xml:space="preserve">Phone: (604) 555-3321</w:t>
      </w:r>
    </w:p>
    <w:p>
      <w:pPr>
        <w:pStyle w:val="BodyText"/>
      </w:pPr>
      <w:r>
        <w:t xml:space="preserve">BN: 987654321 RT0001</w:t>
      </w:r>
    </w:p>
    <w:bookmarkEnd w:id="22"/>
    <w:bookmarkStart w:id="23" w:name="engagement-details"/>
    <w:p>
      <w:pPr>
        <w:pStyle w:val="Heading3"/>
      </w:pPr>
      <w:r>
        <w:t xml:space="preserve">Engagement Details</w:t>
      </w:r>
    </w:p>
    <w:p>
      <w:pPr>
        <w:pStyle w:val="FirstParagraph"/>
      </w:pPr>
      <w:r>
        <w:t xml:space="preserve">Engagement Ref: AUD-2025-NT-003</w:t>
      </w:r>
    </w:p>
    <w:p>
      <w:pPr>
        <w:pStyle w:val="BodyText"/>
      </w:pPr>
      <w:r>
        <w:t xml:space="preserve">Auditor in Charge: David Okafor, CPA, CA</w:t>
      </w:r>
    </w:p>
    <w:p>
      <w:pPr>
        <w:pStyle w:val="BodyText"/>
      </w:pPr>
      <w:r>
        <w:t xml:space="preserve">Period Under Audit: Jan 1 – Dec 31, 2024</w:t>
      </w:r>
    </w:p>
    <w:p>
      <w:pPr>
        <w:pStyle w:val="BodyText"/>
      </w:pPr>
      <w:r>
        <w:t xml:space="preserve">Standard: Canadian GAAP / IFRS</w:t>
      </w:r>
    </w:p>
    <w:p>
      <w:pPr>
        <w:pStyle w:val="BodyText"/>
      </w:pPr>
      <w:r>
        <w:t xml:space="preserve">Regulatory Body: CICA / CPA Canada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Auditor Service Description</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Planning and risk assessment for the annual financial statement audit of Northwest Timber Holdings Inc., including review of internal controls, materiality threshold determination, and audit strategy development in compliance with Canadian auditing standards (CAS 300).</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w:t>
            </w:r>
          </w:p>
        </w:tc>
        <w:tc>
          <w:tcPr/>
          <w:p>
            <w:pPr>
              <w:pStyle w:val="Compact"/>
              <w:jc w:val="left"/>
            </w:pPr>
            <w:r>
              <w:t xml:space="preserve">Jan 6 – Jan 17, 2025</w:t>
            </w:r>
          </w:p>
        </w:tc>
      </w:tr>
      <w:tr>
        <w:tc>
          <w:tcPr/>
          <w:p>
            <w:pPr>
              <w:pStyle w:val="Compact"/>
              <w:jc w:val="left"/>
            </w:pPr>
            <w:r>
              <w:t xml:space="preserve">2</w:t>
            </w:r>
          </w:p>
        </w:tc>
        <w:tc>
          <w:tcPr/>
          <w:p>
            <w:pPr>
              <w:pStyle w:val="Compact"/>
              <w:jc w:val="left"/>
            </w:pPr>
            <w:r>
              <w:t xml:space="preserve">Substantive testing of revenue and accounts receivable for the fiscal year 2024. This includes confirmation of outstanding receivables with key clients across the Lower Mainland of Vancouver, analytical procedures on timber sales contracts, and verification of revenue recognition under IFRS 15 as adopted in Canada.</w:t>
            </w:r>
          </w:p>
        </w:tc>
        <w:tc>
          <w:tcPr/>
          <w:p>
            <w:pPr>
              <w:pStyle w:val="Compact"/>
              <w:jc w:val="left"/>
            </w:pPr>
            <w:r>
              <w:t xml:space="preserve">48.0</w:t>
            </w:r>
          </w:p>
        </w:tc>
        <w:tc>
          <w:tcPr/>
          <w:p>
            <w:pPr>
              <w:pStyle w:val="Compact"/>
              <w:jc w:val="left"/>
            </w:pPr>
            <w:r>
              <w:t xml:space="preserve">$285.00</w:t>
            </w:r>
          </w:p>
        </w:tc>
        <w:tc>
          <w:tcPr/>
          <w:p>
            <w:pPr>
              <w:pStyle w:val="Compact"/>
              <w:jc w:val="left"/>
            </w:pPr>
            <w:r>
              <w:t xml:space="preserve">$13,680.00</w:t>
            </w:r>
          </w:p>
        </w:tc>
        <w:tc>
          <w:tcPr/>
          <w:p>
            <w:pPr>
              <w:pStyle w:val="Compact"/>
              <w:jc w:val="left"/>
            </w:pPr>
            <w:r>
              <w:t xml:space="preserve">Jan 20 – Feb 14, 2025</w:t>
            </w:r>
          </w:p>
        </w:tc>
      </w:tr>
      <w:tr>
        <w:tc>
          <w:tcPr/>
          <w:p>
            <w:pPr>
              <w:pStyle w:val="Compact"/>
              <w:jc w:val="left"/>
            </w:pPr>
            <w:r>
              <w:t xml:space="preserve">3</w:t>
            </w:r>
          </w:p>
        </w:tc>
        <w:tc>
          <w:tcPr/>
          <w:p>
            <w:pPr>
              <w:pStyle w:val="Compact"/>
              <w:jc w:val="left"/>
            </w:pPr>
            <w:r>
              <w:t xml:space="preserve">Audit of property, plant, and equipment including physical verification of timber assets and processing facilities located in the Vancouver and North Shore regions. Depreciation schedule recalculation and impairment testing per IAS 36 in accordance with Canadian accounting standards.</w:t>
            </w:r>
          </w:p>
        </w:tc>
        <w:tc>
          <w:tcPr/>
          <w:p>
            <w:pPr>
              <w:pStyle w:val="Compact"/>
              <w:jc w:val="left"/>
            </w:pPr>
            <w:r>
              <w:t xml:space="preserve">32.0</w:t>
            </w:r>
          </w:p>
        </w:tc>
        <w:tc>
          <w:tcPr/>
          <w:p>
            <w:pPr>
              <w:pStyle w:val="Compact"/>
              <w:jc w:val="left"/>
            </w:pPr>
            <w:r>
              <w:t xml:space="preserve">$285.00</w:t>
            </w:r>
          </w:p>
        </w:tc>
        <w:tc>
          <w:tcPr/>
          <w:p>
            <w:pPr>
              <w:pStyle w:val="Compact"/>
              <w:jc w:val="left"/>
            </w:pPr>
            <w:r>
              <w:t xml:space="preserve">$9,120.00</w:t>
            </w:r>
          </w:p>
        </w:tc>
        <w:tc>
          <w:tcPr/>
          <w:p>
            <w:pPr>
              <w:pStyle w:val="Compact"/>
              <w:jc w:val="left"/>
            </w:pPr>
            <w:r>
              <w:t xml:space="preserve">Feb 17 – Mar 7, 2025</w:t>
            </w:r>
          </w:p>
        </w:tc>
      </w:tr>
      <w:tr>
        <w:tc>
          <w:tcPr/>
          <w:p>
            <w:pPr>
              <w:pStyle w:val="Compact"/>
              <w:jc w:val="left"/>
            </w:pPr>
            <w:r>
              <w:t xml:space="preserve">4</w:t>
            </w:r>
          </w:p>
        </w:tc>
        <w:tc>
          <w:tcPr/>
          <w:p>
            <w:pPr>
              <w:pStyle w:val="Compact"/>
              <w:jc w:val="left"/>
            </w:pPr>
            <w:r>
              <w:t xml:space="preserve">Review and testing of payroll, benefits, and statutory remittances including Canada Pension Plan (CPP), Employment Insurance (EI), and provincial income tax withholdings administered by the Canada Revenue Agency (CRA) and the British Columbia government.</w:t>
            </w:r>
          </w:p>
        </w:tc>
        <w:tc>
          <w:tcPr/>
          <w:p>
            <w:pPr>
              <w:pStyle w:val="Compact"/>
              <w:jc w:val="left"/>
            </w:pPr>
            <w:r>
              <w:t xml:space="preserve">20.0</w:t>
            </w:r>
          </w:p>
        </w:tc>
        <w:tc>
          <w:tcPr/>
          <w:p>
            <w:pPr>
              <w:pStyle w:val="Compact"/>
              <w:jc w:val="left"/>
            </w:pPr>
            <w:r>
              <w:t xml:space="preserve">$285.00</w:t>
            </w:r>
          </w:p>
        </w:tc>
        <w:tc>
          <w:tcPr/>
          <w:p>
            <w:pPr>
              <w:pStyle w:val="Compact"/>
              <w:jc w:val="left"/>
            </w:pPr>
            <w:r>
              <w:t xml:space="preserve">$5,700.00</w:t>
            </w:r>
          </w:p>
        </w:tc>
        <w:tc>
          <w:tcPr/>
          <w:p>
            <w:pPr>
              <w:pStyle w:val="Compact"/>
              <w:jc w:val="left"/>
            </w:pPr>
            <w:r>
              <w:t xml:space="preserve">Mar 10 – Mar 21, 2025</w:t>
            </w:r>
          </w:p>
        </w:tc>
      </w:tr>
      <w:tr>
        <w:tc>
          <w:tcPr/>
          <w:p>
            <w:pPr>
              <w:pStyle w:val="Compact"/>
              <w:jc w:val="left"/>
            </w:pPr>
            <w:r>
              <w:t xml:space="preserve">5</w:t>
            </w:r>
          </w:p>
        </w:tc>
        <w:tc>
          <w:tcPr/>
          <w:p>
            <w:pPr>
              <w:pStyle w:val="Compact"/>
              <w:jc w:val="left"/>
            </w:pPr>
            <w:r>
              <w:t xml:space="preserve">Audit of cash, bank reconciliations, and short-term investments. Verification of accounts held with major Canadian financial institutions in Vancouver. Confirmation of outstanding loan balances and review of debt covenants under the company's credit facilities.</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c>
          <w:tcPr/>
          <w:p>
            <w:pPr>
              <w:pStyle w:val="Compact"/>
              <w:jc w:val="left"/>
            </w:pPr>
            <w:r>
              <w:t xml:space="preserve">Mar 24 – Apr 4, 2025</w:t>
            </w:r>
          </w:p>
        </w:tc>
      </w:tr>
      <w:tr>
        <w:tc>
          <w:tcPr/>
          <w:p>
            <w:pPr>
              <w:pStyle w:val="Compact"/>
              <w:jc w:val="left"/>
            </w:pPr>
            <w:r>
              <w:t xml:space="preserve">6</w:t>
            </w:r>
          </w:p>
        </w:tc>
        <w:tc>
          <w:tcPr/>
          <w:p>
            <w:pPr>
              <w:pStyle w:val="Compact"/>
              <w:jc w:val="left"/>
            </w:pPr>
            <w:r>
              <w:t xml:space="preserve">Preparation of the independent auditor's report, management letter, and summary of audit findings. Includes documentation of any material weaknesses in internal controls, recommendations for remediation, and compliance review with the Canada Business Corporations Act (CBCA) and the Business Corporations Act (British Columbia).</w:t>
            </w:r>
          </w:p>
        </w:tc>
        <w:tc>
          <w:tcPr/>
          <w:p>
            <w:pPr>
              <w:pStyle w:val="Compact"/>
              <w:jc w:val="left"/>
            </w:pPr>
            <w:r>
              <w:t xml:space="preserve">28.0</w:t>
            </w:r>
          </w:p>
        </w:tc>
        <w:tc>
          <w:tcPr/>
          <w:p>
            <w:pPr>
              <w:pStyle w:val="Compact"/>
              <w:jc w:val="left"/>
            </w:pPr>
            <w:r>
              <w:t xml:space="preserve">$285.00</w:t>
            </w:r>
          </w:p>
        </w:tc>
        <w:tc>
          <w:tcPr/>
          <w:p>
            <w:pPr>
              <w:pStyle w:val="Compact"/>
              <w:jc w:val="left"/>
            </w:pPr>
            <w:r>
              <w:t xml:space="preserve">$7,980.00</w:t>
            </w:r>
          </w:p>
        </w:tc>
        <w:tc>
          <w:tcPr/>
          <w:p>
            <w:pPr>
              <w:pStyle w:val="Compact"/>
              <w:jc w:val="left"/>
            </w:pPr>
            <w:r>
              <w:t xml:space="preserve">Apr 7 – Apr 25, 2025</w:t>
            </w:r>
          </w:p>
        </w:tc>
      </w:tr>
      <w:tr>
        <w:tc>
          <w:tcPr/>
          <w:p>
            <w:pPr>
              <w:pStyle w:val="Compact"/>
              <w:jc w:val="left"/>
            </w:pPr>
            <w:r>
              <w:t xml:space="preserve">7</w:t>
            </w:r>
          </w:p>
        </w:tc>
        <w:tc>
          <w:tcPr/>
          <w:p>
            <w:pPr>
              <w:pStyle w:val="Compact"/>
              <w:jc w:val="left"/>
            </w:pPr>
            <w:r>
              <w:t xml:space="preserve">Out-of-pocket expenses: travel within the Greater Vancouver area, photocopying, courier services for document delivery, and professional database access fees for regulatory filings with the BC Securities Commission.</w:t>
            </w:r>
          </w:p>
        </w:tc>
        <w:tc>
          <w:tcPr/>
          <w:p>
            <w:pPr>
              <w:pStyle w:val="Compact"/>
              <w:jc w:val="left"/>
            </w:pPr>
            <w:r>
              <w:t xml:space="preserve">—</w:t>
            </w:r>
          </w:p>
        </w:tc>
        <w:tc>
          <w:tcPr/>
          <w:p>
            <w:pPr>
              <w:pStyle w:val="Compact"/>
              <w:jc w:val="left"/>
            </w:pPr>
            <w:r>
              <w:t xml:space="preserve">—</w:t>
            </w:r>
          </w:p>
        </w:tc>
        <w:tc>
          <w:tcPr/>
          <w:p>
            <w:pPr>
              <w:pStyle w:val="Compact"/>
              <w:jc w:val="left"/>
            </w:pPr>
            <w:r>
              <w:t xml:space="preserve">$1,247.50</w:t>
            </w:r>
          </w:p>
        </w:tc>
        <w:tc>
          <w:tcPr/>
          <w:p>
            <w:pPr>
              <w:pStyle w:val="Compact"/>
              <w:jc w:val="left"/>
            </w:pPr>
            <w:r>
              <w:t xml:space="preserve">Jan – Apr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 + Expenses)</w:t>
            </w:r>
          </w:p>
        </w:tc>
        <w:tc>
          <w:tcPr/>
          <w:p>
            <w:pPr>
              <w:pStyle w:val="Compact"/>
              <w:jc w:val="right"/>
            </w:pPr>
            <w:r>
              <w:t xml:space="preserve">$49,127.50</w:t>
            </w:r>
          </w:p>
        </w:tc>
      </w:tr>
      <w:tr>
        <w:tc>
          <w:tcPr/>
          <w:p>
            <w:pPr>
              <w:pStyle w:val="Compact"/>
              <w:jc w:val="left"/>
            </w:pPr>
            <w:r>
              <w:t xml:space="preserve">GST (5% – Federal, Canada)</w:t>
            </w:r>
          </w:p>
        </w:tc>
        <w:tc>
          <w:tcPr/>
          <w:p>
            <w:pPr>
              <w:pStyle w:val="Compact"/>
              <w:jc w:val="right"/>
            </w:pPr>
            <w:r>
              <w:t xml:space="preserve">$2,456.38</w:t>
            </w:r>
          </w:p>
        </w:tc>
      </w:tr>
      <w:tr>
        <w:tc>
          <w:tcPr/>
          <w:p>
            <w:pPr>
              <w:pStyle w:val="Compact"/>
              <w:jc w:val="left"/>
            </w:pPr>
            <w:r>
              <w:t xml:space="preserve">PST (7% – British Columbia, Canada)</w:t>
            </w:r>
          </w:p>
        </w:tc>
        <w:tc>
          <w:tcPr/>
          <w:p>
            <w:pPr>
              <w:pStyle w:val="Compact"/>
              <w:jc w:val="right"/>
            </w:pPr>
            <w:r>
              <w:t xml:space="preserve">$3,438.93</w:t>
            </w:r>
          </w:p>
        </w:tc>
      </w:tr>
      <w:tr>
        <w:tc>
          <w:tcPr/>
          <w:p>
            <w:pPr>
              <w:pStyle w:val="Compact"/>
              <w:jc w:val="left"/>
            </w:pPr>
            <w:r>
              <w:t xml:space="preserve">TOTAL AMOUNT DUE (CAD)</w:t>
            </w:r>
          </w:p>
        </w:tc>
        <w:tc>
          <w:tcPr/>
          <w:p>
            <w:pPr>
              <w:pStyle w:val="Compact"/>
              <w:jc w:val="right"/>
            </w:pPr>
            <w:r>
              <w:t xml:space="preserve">$55,022.81</w:t>
            </w:r>
          </w:p>
        </w:tc>
      </w:tr>
    </w:tbl>
    <w:bookmarkStart w:id="24" w:name="payment-instructions-terms"/>
    <w:p>
      <w:pPr>
        <w:pStyle w:val="Heading3"/>
      </w:pPr>
      <w:r>
        <w:t xml:space="preserve">Payment Instructions &amp; Terms</w:t>
      </w:r>
    </w:p>
    <w:p>
      <w:pPr>
        <w:pStyle w:val="FirstParagraph"/>
      </w:pPr>
      <w:r>
        <w:rPr>
          <w:bCs/>
          <w:b/>
        </w:rPr>
        <w:t xml:space="preserve">Method of Payment:</w:t>
      </w:r>
      <w:r>
        <w:t xml:space="preserve"> </w:t>
      </w:r>
      <w:r>
        <w:t xml:space="preserve">Electronic Funds Transfer (EFT) / Interac e-Transfer / Cheque</w:t>
      </w:r>
    </w:p>
    <w:p>
      <w:pPr>
        <w:pStyle w:val="BodyText"/>
      </w:pPr>
      <w:r>
        <w:rPr>
          <w:bCs/>
          <w:b/>
        </w:rPr>
        <w:t xml:space="preserve">Bank:</w:t>
      </w:r>
      <w:r>
        <w:t xml:space="preserve"> </w:t>
      </w:r>
      <w:r>
        <w:t xml:space="preserve">Royal Bank of Canada – Vancouver Head Office</w:t>
      </w:r>
    </w:p>
    <w:p>
      <w:pPr>
        <w:pStyle w:val="BodyText"/>
      </w:pPr>
      <w:r>
        <w:rPr>
          <w:bCs/>
          <w:b/>
        </w:rPr>
        <w:t xml:space="preserve">Account Name:</w:t>
      </w:r>
      <w:r>
        <w:t xml:space="preserve"> </w:t>
      </w:r>
      <w:r>
        <w:t xml:space="preserve">Coastal Pacific Audit &amp; Advisory LLP</w:t>
      </w:r>
    </w:p>
    <w:p>
      <w:pPr>
        <w:pStyle w:val="BodyText"/>
      </w:pPr>
      <w:r>
        <w:rPr>
          <w:bCs/>
          <w:b/>
        </w:rPr>
        <w:t xml:space="preserve">Transit No:</w:t>
      </w:r>
      <w:r>
        <w:t xml:space="preserve"> </w:t>
      </w:r>
      <w:r>
        <w:t xml:space="preserve">00123 |</w:t>
      </w:r>
      <w:r>
        <w:t xml:space="preserve"> </w:t>
      </w:r>
      <w:r>
        <w:rPr>
          <w:bCs/>
          <w:b/>
        </w:rPr>
        <w:t xml:space="preserve">Account No:</w:t>
      </w:r>
      <w:r>
        <w:t xml:space="preserve"> </w:t>
      </w:r>
      <w:r>
        <w:t xml:space="preserve">456789012 |</w:t>
      </w:r>
      <w:r>
        <w:t xml:space="preserve"> </w:t>
      </w:r>
      <w:r>
        <w:rPr>
          <w:bCs/>
          <w:b/>
        </w:rPr>
        <w:t xml:space="preserve">Branch:</w:t>
      </w:r>
      <w:r>
        <w:t xml:space="preserve"> </w:t>
      </w:r>
      <w:r>
        <w:t xml:space="preserve">001</w:t>
      </w:r>
    </w:p>
    <w:p>
      <w:pPr>
        <w:pStyle w:val="BodyText"/>
      </w:pPr>
      <w:r>
        <w:rPr>
          <w:bCs/>
          <w:b/>
        </w:rPr>
        <w:t xml:space="preserve">Due Date:</w:t>
      </w:r>
      <w:r>
        <w:t xml:space="preserve"> </w:t>
      </w:r>
      <w:r>
        <w:t xml:space="preserve">July 15, 2025 (30 days from invoice date)</w:t>
      </w:r>
    </w:p>
    <w:p>
      <w:pPr>
        <w:pStyle w:val="BodyText"/>
      </w:pPr>
      <w:r>
        <w:rPr>
          <w:bCs/>
          <w:b/>
        </w:rPr>
        <w:t xml:space="preserve">Late Payment:</w:t>
      </w:r>
      <w:r>
        <w:t xml:space="preserve"> </w:t>
      </w:r>
      <w:r>
        <w:t xml:space="preserve">A penalty of 1.5% per month (18% per annum) will be applied to overdue balances in accordance with the British Columbia Interest Act and the terms of our professional services agreement.</w:t>
      </w:r>
    </w:p>
    <w:p>
      <w:pPr>
        <w:pStyle w:val="BodyText"/>
      </w:pPr>
      <w:r>
        <w:t xml:space="preserve">Please reference Invoice No.</w:t>
      </w:r>
      <w:r>
        <w:t xml:space="preserve"> </w:t>
      </w:r>
      <w:r>
        <w:rPr>
          <w:bCs/>
          <w:b/>
        </w:rPr>
        <w:t xml:space="preserve">CPA-2025-04872</w:t>
      </w:r>
      <w:r>
        <w:t xml:space="preserve"> </w:t>
      </w:r>
      <w:r>
        <w:t xml:space="preserve">on all remittances. This invoice is issued in accordance with the Canada Revenue Agency (CRA) requirements for GST/HST reporting and the professional standards set by CPA Canada.</w:t>
      </w:r>
    </w:p>
    <w:bookmarkEnd w:id="24"/>
    <w:bookmarkStart w:id="25" w:name="Xae3fb206886b72d7be737ebc59c31228767900e"/>
    <w:p>
      <w:pPr>
        <w:pStyle w:val="Heading3"/>
      </w:pPr>
      <w:r>
        <w:t xml:space="preserve">Important Notes Regarding This Auditor Invoice</w:t>
      </w:r>
    </w:p>
    <w:p>
      <w:pPr>
        <w:pStyle w:val="FirstParagraph"/>
      </w:pPr>
      <w:r>
        <w:t xml:space="preserve">This invoice represents the full and final billing for the independent external audit engagement performed by Coastal Pacific Audit &amp; Advisory LLP for Northwest Timber Holdings Inc. for the fiscal year ended December 31, 2024. All audit procedures were conducted in accordance with Canadian Generally Accepted Auditing Standards (GAAS) and the International Standards on Auditing (ISA) as adopted by CPA Canada.</w:t>
      </w:r>
    </w:p>
    <w:p>
      <w:pPr>
        <w:numPr>
          <w:ilvl w:val="0"/>
          <w:numId w:val="1001"/>
        </w:numPr>
        <w:pStyle w:val="Compact"/>
      </w:pPr>
      <w:r>
        <w:t xml:space="preserve">The auditor's report and management letter will be delivered separately within five (5) business days of the final fieldwork completion date.</w:t>
      </w:r>
    </w:p>
    <w:p>
      <w:pPr>
        <w:numPr>
          <w:ilvl w:val="0"/>
          <w:numId w:val="1001"/>
        </w:numPr>
        <w:pStyle w:val="Compact"/>
      </w:pPr>
      <w:r>
        <w:t xml:space="preserve">All workpapers and audit documentation are retained by the auditor for a minimum of seven (7) years in compliance with the Canadian Securities Administrators (CSA) record-keeping requirements.</w:t>
      </w:r>
    </w:p>
    <w:p>
      <w:pPr>
        <w:numPr>
          <w:ilvl w:val="0"/>
          <w:numId w:val="1001"/>
        </w:numPr>
        <w:pStyle w:val="Compact"/>
      </w:pPr>
      <w:r>
        <w:t xml:space="preserve">This invoice is subject to the terms of the signed Engagement Letter dated December 15, 2024, executed in Vancouver, British Columbia, Canada.</w:t>
      </w:r>
    </w:p>
    <w:p>
      <w:pPr>
        <w:numPr>
          <w:ilvl w:val="0"/>
          <w:numId w:val="1001"/>
        </w:numPr>
        <w:pStyle w:val="Compact"/>
      </w:pPr>
      <w:r>
        <w:t xml:space="preserve">Any disputes regarding this invoice must be raised in writing within fifteen (15) business days of the due date. Unresolved disputes will be handled per the arbitration clause governed by the laws of the Province of British Columbia and the federal laws of Canada applicable therein.</w:t>
      </w:r>
    </w:p>
    <w:p>
      <w:pPr>
        <w:numPr>
          <w:ilvl w:val="0"/>
          <w:numId w:val="1001"/>
        </w:numPr>
        <w:pStyle w:val="Compact"/>
      </w:pPr>
      <w:r>
        <w:t xml:space="preserve">Coastal Pacific Audit &amp; Advisory LLP is a registered firm with the British Columbia Institute of Certified Public Accountants (BCICPA) and is in good standing with the Canadian Institute of Chartered Professional Accountants (CPA Canada).</w:t>
      </w:r>
    </w:p>
    <w:bookmarkEnd w:id="25"/>
    <w:p>
      <w:pPr>
        <w:pStyle w:val="FirstParagraph"/>
      </w:pPr>
      <w:r>
        <w:rPr>
          <w:bCs/>
          <w:b/>
        </w:rPr>
        <w:t xml:space="preserve">Coastal Pacific Audit &amp; Advisory LLP</w:t>
      </w:r>
      <w:r>
        <w:t xml:space="preserve"> </w:t>
      </w:r>
      <w:r>
        <w:t xml:space="preserve">| 1200 West Georgia Street, Suite 2400, Vancouver, BC V6E 4R2, Canada</w:t>
      </w:r>
    </w:p>
    <w:p>
      <w:pPr>
        <w:pStyle w:val="BodyText"/>
      </w:pPr>
      <w:r>
        <w:t xml:space="preserve">Phone: (604) 555-0187 | Fax: (604) 555-0188 | Email: billing@coastalpacificaudit.ca | Web: www.coastalpacificaudit.ca</w:t>
      </w:r>
    </w:p>
    <w:p>
      <w:pPr>
        <w:pStyle w:val="BodyText"/>
      </w:pPr>
      <w:r>
        <w:t xml:space="preserve">Business Number: 123456789 RT0001 | GST Registration: 123456789RT0001</w:t>
      </w:r>
    </w:p>
    <w:p>
      <w:pPr>
        <w:pStyle w:val="BodyText"/>
      </w:pPr>
      <w:r>
        <w:t xml:space="preserve">This invoice was generated electronically and is valid without a signature. For questions regarding this auditor invoice, please contact our billing department at the address above. All amounts are denominated in Canadian Dollars (CAD). This document is issued under the jurisdiction of the Province of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Vancouver, Canada</dc:title>
  <dc:creator/>
  <dc:language>en</dc:language>
  <cp:keywords/>
  <dcterms:created xsi:type="dcterms:W3CDTF">2026-10-10T03:08:10Z</dcterms:created>
  <dcterms:modified xsi:type="dcterms:W3CDTF">2026-10-10T03:08:10Z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