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e18316dbc5b2bf6781276c654e6eb9292b3a337"/>
    <w:p>
      <w:pPr>
        <w:pStyle w:val="Heading1"/>
      </w:pPr>
      <w:r>
        <w:t xml:space="preserve">Beijing Capital Audit &amp; Advisory Firm Co., Ltd.</w:t>
      </w:r>
    </w:p>
    <w:p>
      <w:pPr>
        <w:pStyle w:val="FirstParagraph"/>
      </w:pPr>
      <w:r>
        <w:t xml:space="preserve">Registered Address: 18th Floor, China World Tower, No. 1 Jianguomenwai Avenue, Chaoyang District, Beijing, China 100020</w:t>
      </w:r>
    </w:p>
    <w:p>
      <w:pPr>
        <w:pStyle w:val="BodyText"/>
      </w:pPr>
      <w:r>
        <w:t xml:space="preserve">Tax Registration No. (Unified Social Credit Code): 91110105MA01KX7B2R</w:t>
      </w:r>
    </w:p>
    <w:p>
      <w:pPr>
        <w:pStyle w:val="BodyText"/>
      </w:pPr>
      <w:r>
        <w:t xml:space="preserve">Phone: +86-10-6505-8822 | Email: billing@bjcapitalaudit.cn</w:t>
      </w:r>
    </w:p>
    <w:p>
      <w:pPr>
        <w:pStyle w:val="BodyText"/>
      </w:pPr>
      <w:r>
        <w:t xml:space="preserve">Licensed Auditor Firm – Ministry of Finance, PRC</w:t>
      </w:r>
    </w:p>
    <w:bookmarkEnd w:id="20"/>
    <w:bookmarkStart w:id="21" w:name="invoice"/>
    <w:p>
      <w:pPr>
        <w:pStyle w:val="Heading2"/>
      </w:pPr>
      <w:r>
        <w:t xml:space="preserve">INVOICE</w:t>
      </w:r>
    </w:p>
    <w:p>
      <w:pPr>
        <w:pStyle w:val="FirstParagraph"/>
      </w:pPr>
      <w:r>
        <w:t xml:space="preserve">Invoice No.: BCAA-2025-04187</w:t>
      </w:r>
    </w:p>
    <w:p>
      <w:pPr>
        <w:pStyle w:val="BodyText"/>
      </w:pPr>
      <w:r>
        <w:t xml:space="preserve">Date of Issue: 15 June 2025</w:t>
      </w:r>
    </w:p>
    <w:p>
      <w:pPr>
        <w:pStyle w:val="BodyText"/>
      </w:pPr>
      <w:r>
        <w:t xml:space="preserve">Due Date: 15 July 2025</w:t>
      </w:r>
    </w:p>
    <w:p>
      <w:pPr>
        <w:pStyle w:val="BodyText"/>
      </w:pPr>
      <w:r>
        <w:t xml:space="preserve">Service Period: 01 April 2025 – 31 May 2025</w:t>
      </w:r>
    </w:p>
    <w:bookmarkEnd w:id="21"/>
    <w:p>
      <w:pPr>
        <w:pStyle w:val="BodyText"/>
      </w:pPr>
      <w:r>
        <w:t xml:space="preserve">Billed To (Client)</w:t>
      </w:r>
    </w:p>
    <w:p>
      <w:pPr>
        <w:pStyle w:val="BodyText"/>
      </w:pPr>
      <w:r>
        <w:rPr>
          <w:bCs/>
          <w:b/>
        </w:rPr>
        <w:t xml:space="preserve">Horizon Manufacturing Group (Beijing) Co., Ltd.</w:t>
      </w:r>
    </w:p>
    <w:p>
      <w:pPr>
        <w:pStyle w:val="BodyText"/>
      </w:pPr>
      <w:r>
        <w:t xml:space="preserve">Address: 42nd Floor, Oriental Plaza, No. 1 Chaoyangmen North Street, Dongcheng District, Beijing, China 100010</w:t>
      </w:r>
    </w:p>
    <w:p>
      <w:pPr>
        <w:pStyle w:val="BodyText"/>
      </w:pPr>
      <w:r>
        <w:t xml:space="preserve">Attention: Mr. Zhang Wei, Chief Financial Officer</w:t>
      </w:r>
    </w:p>
    <w:p>
      <w:pPr>
        <w:pStyle w:val="BodyText"/>
      </w:pPr>
      <w:r>
        <w:t xml:space="preserve">Tax ID: 91110101MA00TQ3L5F</w:t>
      </w:r>
    </w:p>
    <w:p>
      <w:pPr>
        <w:pStyle w:val="BodyText"/>
      </w:pPr>
      <w:r>
        <w:t xml:space="preserve">Bank: Industrial and Commercial Bank of China, Beijing Branch</w:t>
      </w:r>
    </w:p>
    <w:p>
      <w:pPr>
        <w:pStyle w:val="BodyText"/>
      </w:pPr>
      <w:r>
        <w:t xml:space="preserve">Account No.: 0200 0012 3456 7890 123</w:t>
      </w:r>
    </w:p>
    <w:p>
      <w:pPr>
        <w:pStyle w:val="BodyText"/>
      </w:pPr>
      <w:r>
        <w:t xml:space="preserve">Issued By (Auditor)</w:t>
      </w:r>
    </w:p>
    <w:p>
      <w:pPr>
        <w:pStyle w:val="BodyText"/>
      </w:pPr>
      <w:r>
        <w:rPr>
          <w:bCs/>
          <w:b/>
        </w:rPr>
        <w:t xml:space="preserve">Beijing Capital Audit &amp; Advisory Firm Co., Ltd.</w:t>
      </w:r>
    </w:p>
    <w:p>
      <w:pPr>
        <w:pStyle w:val="BodyText"/>
      </w:pPr>
      <w:r>
        <w:t xml:space="preserve">Lead Auditor: Li Minghua, CPA (China), CISA</w:t>
      </w:r>
    </w:p>
    <w:p>
      <w:pPr>
        <w:pStyle w:val="BodyText"/>
      </w:pPr>
      <w:r>
        <w:t xml:space="preserve">Audit Engagement No.: ENG-2025-BJ-0092</w:t>
      </w:r>
    </w:p>
    <w:p>
      <w:pPr>
        <w:pStyle w:val="BodyText"/>
      </w:pPr>
      <w:r>
        <w:t xml:space="preserve">Address: 18th Floor, China World Tower, Chaoyang District, Beijing, China</w:t>
      </w:r>
    </w:p>
    <w:p>
      <w:pPr>
        <w:pStyle w:val="BodyText"/>
      </w:pPr>
      <w:r>
        <w:t xml:space="preserve">Bank: China Construction Bank, Beijing Chaoyang Branch</w:t>
      </w:r>
    </w:p>
    <w:p>
      <w:pPr>
        <w:pStyle w:val="BodyText"/>
      </w:pPr>
      <w:r>
        <w:t xml:space="preserve">Account No.: 1100 1012 3456 7890 456</w:t>
      </w:r>
    </w:p>
    <w:p>
      <w:pPr>
        <w:pStyle w:val="BodyText"/>
      </w:pPr>
      <w:r>
        <w:t xml:space="preserve">Description of Auditor Services Rendered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(CNY)</w:t>
            </w:r>
          </w:p>
        </w:tc>
        <w:tc>
          <w:tcPr/>
          <w:p>
            <w:pPr>
              <w:pStyle w:val="Compact"/>
              <w:jc w:val="left"/>
            </w:pPr>
            <w:r>
              <w:t xml:space="preserve">Hours</w:t>
            </w:r>
          </w:p>
        </w:tc>
        <w:tc>
          <w:tcPr/>
          <w:p>
            <w:pPr>
              <w:pStyle w:val="Compact"/>
              <w:jc w:val="left"/>
            </w:pPr>
            <w:r>
              <w:t xml:space="preserve">Amount (CNY)</w:t>
            </w:r>
          </w:p>
        </w:tc>
        <w:tc>
          <w:tcPr/>
          <w:p>
            <w:pPr>
              <w:pStyle w:val="Compact"/>
              <w:jc w:val="left"/>
            </w:pPr>
            <w:r>
              <w:t xml:space="preserve">VAT (6%)</w:t>
            </w:r>
          </w:p>
        </w:tc>
      </w:tr>
      <w:tr>
        <w:tc>
          <w:tcPr/>
          <w:p>
            <w:pPr>
              <w:pStyle w:val="Compact"/>
              <w:jc w:val="left"/>
            </w:pPr>
            <w:r>
              <w:t xml:space="preserve">01</w:t>
            </w:r>
          </w:p>
        </w:tc>
        <w:tc>
          <w:tcPr/>
          <w:p>
            <w:pPr>
              <w:pStyle w:val="Compact"/>
              <w:jc w:val="left"/>
            </w:pPr>
            <w:r>
              <w:t xml:space="preserve">Statutory Annual Financial Audit – Review and verification of consolidated financial statements for Horizon Manufacturing Group (Beijing) Co., Ltd. in compliance with Chinese Accounting Standards (CAS) and the Company Law of the People's Republic of China. Conducted by a team of four certified auditors at the client's premises in Beijing.</w:t>
            </w:r>
          </w:p>
        </w:tc>
        <w:tc>
          <w:tcPr/>
          <w:p>
            <w:pPr>
              <w:pStyle w:val="Compact"/>
              <w:jc w:val="left"/>
            </w:pPr>
            <w:r>
              <w:t xml:space="preserve">1,200</w:t>
            </w:r>
          </w:p>
        </w:tc>
        <w:tc>
          <w:tcPr/>
          <w:p>
            <w:pPr>
              <w:pStyle w:val="Compact"/>
              <w:jc w:val="left"/>
            </w:pPr>
            <w:r>
              <w:t xml:space="preserve">120</w:t>
            </w:r>
          </w:p>
        </w:tc>
        <w:tc>
          <w:tcPr/>
          <w:p>
            <w:pPr>
              <w:pStyle w:val="Compact"/>
              <w:jc w:val="left"/>
            </w:pPr>
            <w:r>
              <w:t xml:space="preserve">144,000.00</w:t>
            </w:r>
          </w:p>
        </w:tc>
        <w:tc>
          <w:tcPr/>
          <w:p>
            <w:pPr>
              <w:pStyle w:val="Compact"/>
              <w:jc w:val="left"/>
            </w:pPr>
            <w:r>
              <w:t xml:space="preserve">8,640.00</w:t>
            </w:r>
          </w:p>
        </w:tc>
      </w:tr>
      <w:tr>
        <w:tc>
          <w:tcPr/>
          <w:p>
            <w:pPr>
              <w:pStyle w:val="Compact"/>
              <w:jc w:val="left"/>
            </w:pPr>
            <w:r>
              <w:t xml:space="preserve">02</w:t>
            </w:r>
          </w:p>
        </w:tc>
        <w:tc>
          <w:tcPr/>
          <w:p>
            <w:pPr>
              <w:pStyle w:val="Compact"/>
              <w:jc w:val="left"/>
            </w:pPr>
            <w:r>
              <w:t xml:space="preserve">Internal Control Assessment – Comprehensive evaluation of the internal control framework, risk management systems, and compliance procedures of the client's operations across three Beijing-based production facilities. Includes preparation of a detailed Auditor's report on control deficiencies and remediation recommendations.</w:t>
            </w:r>
          </w:p>
        </w:tc>
        <w:tc>
          <w:tcPr/>
          <w:p>
            <w:pPr>
              <w:pStyle w:val="Compact"/>
              <w:jc w:val="left"/>
            </w:pPr>
            <w:r>
              <w:t xml:space="preserve">1,050</w:t>
            </w:r>
          </w:p>
        </w:tc>
        <w:tc>
          <w:tcPr/>
          <w:p>
            <w:pPr>
              <w:pStyle w:val="Compact"/>
              <w:jc w:val="left"/>
            </w:pPr>
            <w:r>
              <w:t xml:space="preserve">80</w:t>
            </w:r>
          </w:p>
        </w:tc>
        <w:tc>
          <w:tcPr/>
          <w:p>
            <w:pPr>
              <w:pStyle w:val="Compact"/>
              <w:jc w:val="left"/>
            </w:pPr>
            <w:r>
              <w:t xml:space="preserve">84,000.00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Tax Compliance Review – Examination of corporate income tax filings, value-added tax declarations, and local surcharge payments for the fiscal year 2024. The Auditor team verified all tax obligations under the regulations administered by the State Taxation Administration, Beijing Municipal Bureau.</w:t>
            </w:r>
          </w:p>
        </w:tc>
        <w:tc>
          <w:tcPr/>
          <w:p>
            <w:pPr>
              <w:pStyle w:val="Compact"/>
              <w:jc w:val="left"/>
            </w:pPr>
            <w:r>
              <w:t xml:space="preserve">950</w:t>
            </w:r>
          </w:p>
        </w:tc>
        <w:tc>
          <w:tcPr/>
          <w:p>
            <w:pPr>
              <w:pStyle w:val="Compact"/>
              <w:jc w:val="left"/>
            </w:pPr>
            <w:r>
              <w:t xml:space="preserve">48</w:t>
            </w:r>
          </w:p>
        </w:tc>
        <w:tc>
          <w:tcPr/>
          <w:p>
            <w:pPr>
              <w:pStyle w:val="Compact"/>
              <w:jc w:val="left"/>
            </w:pPr>
            <w:r>
              <w:t xml:space="preserve">45,600.00</w:t>
            </w:r>
          </w:p>
        </w:tc>
        <w:tc>
          <w:tcPr/>
          <w:p>
            <w:pPr>
              <w:pStyle w:val="Compact"/>
              <w:jc w:val="left"/>
            </w:pPr>
            <w:r>
              <w:t xml:space="preserve">2,736.00</w:t>
            </w:r>
          </w:p>
        </w:tc>
      </w:tr>
      <w:tr>
        <w:tc>
          <w:tcPr/>
          <w:p>
            <w:pPr>
              <w:pStyle w:val="Compact"/>
              <w:jc w:val="left"/>
            </w:pPr>
            <w:r>
              <w:t xml:space="preserve">04</w:t>
            </w:r>
          </w:p>
        </w:tc>
        <w:tc>
          <w:tcPr/>
          <w:p>
            <w:pPr>
              <w:pStyle w:val="Compact"/>
              <w:jc w:val="left"/>
            </w:pPr>
            <w:r>
              <w:t xml:space="preserve">Foreign Investment Compliance Audit – Specialized audit of foreign-invested enterprise (FIE) compliance, including verification of capital contribution records, transfer pricing documentation, and adherence to the Foreign Investment Law of the PRC as enforced in the Beijing Municipal Commission of Commerce.</w:t>
            </w:r>
          </w:p>
        </w:tc>
        <w:tc>
          <w:tcPr/>
          <w:p>
            <w:pPr>
              <w:pStyle w:val="Compact"/>
              <w:jc w:val="left"/>
            </w:pPr>
            <w:r>
              <w:t xml:space="preserve">1,350</w:t>
            </w:r>
          </w:p>
        </w:tc>
        <w:tc>
          <w:tcPr/>
          <w:p>
            <w:pPr>
              <w:pStyle w:val="Compact"/>
              <w:jc w:val="left"/>
            </w:pPr>
            <w:r>
              <w:t xml:space="preserve">36</w:t>
            </w:r>
          </w:p>
        </w:tc>
        <w:tc>
          <w:tcPr/>
          <w:p>
            <w:pPr>
              <w:pStyle w:val="Compact"/>
              <w:jc w:val="left"/>
            </w:pPr>
            <w:r>
              <w:t xml:space="preserve">48,600.00</w:t>
            </w:r>
          </w:p>
        </w:tc>
        <w:tc>
          <w:tcPr/>
          <w:p>
            <w:pPr>
              <w:pStyle w:val="Compact"/>
              <w:jc w:val="left"/>
            </w:pPr>
            <w:r>
              <w:t xml:space="preserve">2,916.00</w:t>
            </w:r>
          </w:p>
        </w:tc>
      </w:tr>
      <w:tr>
        <w:tc>
          <w:tcPr/>
          <w:p>
            <w:pPr>
              <w:pStyle w:val="Compact"/>
              <w:jc w:val="left"/>
            </w:pPr>
            <w:r>
              <w:t xml:space="preserve">05</w:t>
            </w:r>
          </w:p>
        </w:tc>
        <w:tc>
          <w:tcPr/>
          <w:p>
            <w:pPr>
              <w:pStyle w:val="Compact"/>
              <w:jc w:val="left"/>
            </w:pPr>
            <w:r>
              <w:t xml:space="preserve">Management Letter &amp; Advisory Consultation – Preparation of a formal Auditor's management letter summarizing observations, providing strategic recommendations for financial governance improvement, and conducting two on-site advisory sessions in Beijing with the client's senior management team.</w:t>
            </w:r>
          </w:p>
        </w:tc>
        <w:tc>
          <w:tcPr/>
          <w:p>
            <w:pPr>
              <w:pStyle w:val="Compact"/>
              <w:jc w:val="left"/>
            </w:pPr>
            <w:r>
              <w:t xml:space="preserve">800</w:t>
            </w:r>
          </w:p>
        </w:tc>
        <w:tc>
          <w:tcPr/>
          <w:p>
            <w:pPr>
              <w:pStyle w:val="Compact"/>
              <w:jc w:val="left"/>
            </w:pPr>
            <w:r>
              <w:t xml:space="preserve">24</w:t>
            </w:r>
          </w:p>
        </w:tc>
        <w:tc>
          <w:tcPr/>
          <w:p>
            <w:pPr>
              <w:pStyle w:val="Compact"/>
              <w:jc w:val="left"/>
            </w:pPr>
            <w:r>
              <w:t xml:space="preserve">19,200.00</w:t>
            </w:r>
          </w:p>
        </w:tc>
        <w:tc>
          <w:tcPr/>
          <w:p>
            <w:pPr>
              <w:pStyle w:val="Compact"/>
              <w:jc w:val="left"/>
            </w:pPr>
            <w:r>
              <w:t xml:space="preserve">1,152.00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rPr>
                <w:bCs/>
                <w:b/>
              </w:rPr>
              <w:t xml:space="preserve">341,400.00</w:t>
            </w:r>
          </w:p>
        </w:tc>
      </w:tr>
      <w:tr>
        <w:tc>
          <w:tcPr/>
          <w:p>
            <w:pPr>
              <w:pStyle w:val="Compact"/>
              <w:jc w:val="left"/>
            </w:pPr>
            <w:r>
              <w:t xml:space="preserve">VAT @ 6% (CNY)</w:t>
            </w:r>
          </w:p>
        </w:tc>
        <w:tc>
          <w:tcPr/>
          <w:p>
            <w:pPr>
              <w:pStyle w:val="Compact"/>
              <w:jc w:val="right"/>
            </w:pPr>
            <w:r>
              <w:rPr>
                <w:bCs/>
                <w:b/>
              </w:rPr>
              <w:t xml:space="preserve">20,484.00</w:t>
            </w:r>
          </w:p>
        </w:tc>
      </w:tr>
      <w:tr>
        <w:tc>
          <w:tcPr/>
          <w:p>
            <w:pPr>
              <w:pStyle w:val="Compact"/>
              <w:jc w:val="left"/>
            </w:pPr>
            <w:r>
              <w:t xml:space="preserve">Local Construction Surcharge (12% of VAT)</w:t>
            </w:r>
          </w:p>
        </w:tc>
        <w:tc>
          <w:tcPr/>
          <w:p>
            <w:pPr>
              <w:pStyle w:val="Compact"/>
              <w:jc w:val="right"/>
            </w:pPr>
            <w:r>
              <w:t xml:space="preserve">2,458.08</w:t>
            </w:r>
          </w:p>
        </w:tc>
      </w:tr>
      <w:tr>
        <w:tc>
          <w:tcPr/>
          <w:p>
            <w:pPr>
              <w:pStyle w:val="Compact"/>
              <w:jc w:val="left"/>
            </w:pPr>
            <w:r>
              <w:t xml:space="preserve">Urban Maintenance &amp; Construction Tax (7% of VAT)</w:t>
            </w:r>
          </w:p>
        </w:tc>
        <w:tc>
          <w:tcPr/>
          <w:p>
            <w:pPr>
              <w:pStyle w:val="Compact"/>
              <w:jc w:val="right"/>
            </w:pPr>
            <w:r>
              <w:t xml:space="preserve">1,433.88</w:t>
            </w:r>
          </w:p>
        </w:tc>
      </w:tr>
      <w:tr>
        <w:tc>
          <w:tcPr/>
          <w:p>
            <w:pPr>
              <w:pStyle w:val="Compact"/>
              <w:jc w:val="left"/>
            </w:pPr>
            <w:r>
              <w:t xml:space="preserve">Grand Total (CNY)</w:t>
            </w:r>
          </w:p>
        </w:tc>
        <w:tc>
          <w:tcPr/>
          <w:p>
            <w:pPr>
              <w:pStyle w:val="Compact"/>
              <w:jc w:val="right"/>
            </w:pPr>
            <w:r>
              <w:t xml:space="preserve">365,775.96</w:t>
            </w:r>
          </w:p>
        </w:tc>
      </w:tr>
    </w:tbl>
    <w:bookmarkStart w:id="22" w:name="payment-terms-instructions"/>
    <w:p>
      <w:pPr>
        <w:pStyle w:val="Heading3"/>
      </w:pPr>
      <w:r>
        <w:t xml:space="preserve">Payment Terms &amp; Instructions</w:t>
      </w:r>
    </w:p>
    <w:p>
      <w:pPr>
        <w:pStyle w:val="FirstParagraph"/>
      </w:pPr>
      <w:r>
        <w:t xml:space="preserve">This Invoice is payable within thirty (30) calendar days from the date of issue, i.e., no later than</w:t>
      </w:r>
      <w:r>
        <w:t xml:space="preserve"> </w:t>
      </w:r>
      <w:r>
        <w:rPr>
          <w:bCs/>
          <w:b/>
        </w:rPr>
        <w:t xml:space="preserve">15 July 2025</w:t>
      </w:r>
      <w:r>
        <w:t xml:space="preserve">. Payment shall be made via bank transfer to the account of Beijing Capital Audit &amp; Advisory Firm Co., Ltd. as detailed above. The Auditor firm requests that the client reference the Invoice number</w:t>
      </w:r>
      <w:r>
        <w:t xml:space="preserve"> </w:t>
      </w:r>
      <w:r>
        <w:rPr>
          <w:bCs/>
          <w:b/>
        </w:rPr>
        <w:t xml:space="preserve">BCAA-2025-04187</w:t>
      </w:r>
      <w:r>
        <w:t xml:space="preserve"> </w:t>
      </w:r>
      <w:r>
        <w:t xml:space="preserve">in the remittance remarks. A late payment penalty of 0.05% per calendar day shall apply to any outstanding balance beyond the due date, in accordance with the engagement contract signed in Beijing on 28 March 2025. All amounts are denominated in Chinese Yuan (CNY / RMB). The Auditor reserves the right to suspend ongoing services if payment remains overdue beyond fifteen (15) days past the due date.</w:t>
      </w:r>
    </w:p>
    <w:bookmarkEnd w:id="22"/>
    <w:p>
      <w:pPr>
        <w:pStyle w:val="BodyText"/>
      </w:pPr>
      <w:r>
        <w:t xml:space="preserve">Important Notes &amp; Regulatory Compliance</w:t>
      </w:r>
    </w:p>
    <w:p>
      <w:pPr>
        <w:pStyle w:val="BodyText"/>
      </w:pPr>
      <w:r>
        <w:t xml:space="preserve">1. This Invoice has been issued in accordance with the Measures for the Administration of Invoices of the People's Republic of China (State Taxation Administration Order No. 48) and the relevant electronic invoice regulations effective in Beijing since 2021. A corresponding electronic fapiao (VAT invoice) has been registered in the Beijing Municipal Tax Service platform and is available for download via the client's tax portal.</w:t>
      </w:r>
    </w:p>
    <w:p>
      <w:pPr>
        <w:pStyle w:val="BodyText"/>
      </w:pPr>
      <w:r>
        <w:t xml:space="preserve">2. The Auditor services described herein were performed in strict compliance with the Chinese Certified Public Accountants Law, the China Standards on Auditing (CSA), and the professional ethics code issued by the Institute of Certified Public Accountants of China (CICPA). The lead Auditor, Li Minghua, holds a valid practicing certificate issued by the Beijing Institute of CPAs.</w:t>
      </w:r>
    </w:p>
    <w:p>
      <w:pPr>
        <w:pStyle w:val="BodyText"/>
      </w:pPr>
      <w:r>
        <w:t xml:space="preserve">3. All audit working papers, the Auditor's report, and supporting documentation generated during the engagement in China Beijing shall be retained by the firm for a minimum period of ten (10) years as mandated by the Ministry of Finance. The client is entitled to request a copy of the final Auditor's report within five (5) business days of completion.</w:t>
      </w:r>
    </w:p>
    <w:p>
      <w:pPr>
        <w:pStyle w:val="BodyText"/>
      </w:pPr>
      <w:r>
        <w:t xml:space="preserve">4. This Invoice constitutes a formal request for payment for professional services rendered. It does not constitute a guarantee of audit outcomes. The Auditor's opinion, as expressed in the final audit report, is subject to the standard qualifications and limitations set forth in the engagement letter. Any disputes arising from this Invoice or the associated services shall be resolved through arbitration at the Beijing Arbitration Commission in accordance with its rules of procedure.</w:t>
      </w:r>
    </w:p>
    <w:p>
      <w:pPr>
        <w:pStyle w:val="BodyText"/>
      </w:pPr>
      <w:r>
        <w:t xml:space="preserve">5. The client acknowledges that the Auditor firm has fulfilled all confidentiality obligations under the engagement contract and that no material non-compliance has been identified that would require immediate regulatory reporting to the Beijing Municipal Administration for Market Regulation or the State Taxation Administration.</w:t>
      </w:r>
    </w:p>
    <w:p>
      <w:pPr>
        <w:pStyle w:val="BodyText"/>
      </w:pPr>
      <w:r>
        <w:t xml:space="preserve">Beijing Capital Audit &amp; Advisory Firm Co., Ltd. | 18th Floor, China World Tower, Chaoyang District, Beijing, China 100020</w:t>
      </w:r>
    </w:p>
    <w:p>
      <w:pPr>
        <w:pStyle w:val="BodyText"/>
      </w:pPr>
      <w:r>
        <w:t xml:space="preserve">Unified Social Credit Code: 91110105MA01KX7B2R | License No. 110105000001 | This Invoice is valid only with the firm's official seal and the signature of the authorized Auditor.</w:t>
      </w:r>
    </w:p>
    <w:p>
      <w:pPr>
        <w:pStyle w:val="BodyText"/>
      </w:pPr>
      <w:r>
        <w:t xml:space="preserve">Prepared by: Wang Fang, Billing Department | Reviewed by: Li Minghua, Lead Auditor | Date: 15 June 2025</w:t>
      </w:r>
    </w:p>
    <w:p>
      <w:pPr>
        <w:pStyle w:val="BodyText"/>
      </w:pPr>
      <w:r>
        <w:t xml:space="preserve">© 2025 Beijing Capital Audit &amp; Advisory Firm Co., Ltd. All rights reserved. This document is an official Invoice for professional Auditor services rendered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China Beijing</dc:title>
  <dc:creator/>
  <dc:language>en</dc:language>
  <cp:keywords/>
  <dcterms:created xsi:type="dcterms:W3CDTF">2026-10-10T06:21:20Z</dcterms:created>
  <dcterms:modified xsi:type="dcterms:W3CDTF">2026-10-10T06:21:20Z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