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China</w:t>
      </w:r>
      <w:r>
        <w:t xml:space="preserve"> </w:t>
      </w:r>
      <w:r>
        <w:t xml:space="preserve">Guangzhou</w:t>
      </w:r>
    </w:p>
    <w:p>
      <w:pPr>
        <w:pStyle w:val="FirstParagraph"/>
      </w:pPr>
      <w:r>
        <w:t xml:space="preserve">INVOICE</w:t>
      </w:r>
    </w:p>
    <w:p>
      <w:pPr>
        <w:pStyle w:val="BodyText"/>
      </w:pPr>
      <w:r>
        <w:t xml:space="preserve">Professional Auditor Services — Financial Audit &amp; Compliance Review</w:t>
      </w:r>
    </w:p>
    <w:p>
      <w:pPr>
        <w:pStyle w:val="BodyText"/>
      </w:pPr>
      <w:r>
        <w:rPr>
          <w:bCs/>
          <w:b/>
        </w:rPr>
        <w:t xml:space="preserve">Invoice No.:</w:t>
      </w:r>
      <w:r>
        <w:t xml:space="preserve"> </w:t>
      </w:r>
      <w:r>
        <w:t xml:space="preserve">GZ-AUD-2025-04871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Start w:id="20" w:name="issued-by-auditor"/>
    <w:p>
      <w:pPr>
        <w:pStyle w:val="Heading3"/>
      </w:pPr>
      <w:r>
        <w:t xml:space="preserve">Issued By (Auditor)</w:t>
      </w:r>
    </w:p>
    <w:p>
      <w:pPr>
        <w:pStyle w:val="FirstParagraph"/>
      </w:pPr>
      <w:r>
        <w:rPr>
          <w:bCs/>
          <w:b/>
        </w:rPr>
        <w:t xml:space="preserve">Guangzhou Apex Audit &amp; Advisory Firm Co., Ltd.</w:t>
      </w:r>
    </w:p>
    <w:p>
      <w:pPr>
        <w:pStyle w:val="BodyText"/>
      </w:pPr>
      <w:r>
        <w:t xml:space="preserve">18th Floor, Tianhe International Financial Center</w:t>
      </w:r>
    </w:p>
    <w:p>
      <w:pPr>
        <w:pStyle w:val="BodyText"/>
      </w:pPr>
      <w:r>
        <w:t xml:space="preserve">No. 383 Tianhe Road, Tianhe District</w:t>
      </w:r>
    </w:p>
    <w:p>
      <w:pPr>
        <w:pStyle w:val="BodyText"/>
      </w:pPr>
      <w:r>
        <w:t xml:space="preserve">Guangzhou, Guangdong Province, China 510620</w:t>
      </w:r>
    </w:p>
    <w:p>
      <w:pPr>
        <w:pStyle w:val="BodyText"/>
      </w:pPr>
      <w:r>
        <w:t xml:space="preserve">Tax ID (USCC): 91440101MA5C8X2K7P</w:t>
      </w:r>
    </w:p>
    <w:p>
      <w:pPr>
        <w:pStyle w:val="BodyText"/>
      </w:pPr>
      <w:r>
        <w:t xml:space="preserve">Contact: auditor@apexaudit-gz.com.cn</w:t>
      </w:r>
    </w:p>
    <w:p>
      <w:pPr>
        <w:pStyle w:val="BodyText"/>
      </w:pPr>
      <w:r>
        <w:t xml:space="preserve">Phone: +86-20-8876-5432</w:t>
      </w:r>
    </w:p>
    <w:bookmarkEnd w:id="20"/>
    <w:bookmarkStart w:id="21" w:name="billed-to-client"/>
    <w:p>
      <w:pPr>
        <w:pStyle w:val="Heading3"/>
      </w:pPr>
      <w:r>
        <w:t xml:space="preserve">Billed To (Client)</w:t>
      </w:r>
    </w:p>
    <w:p>
      <w:pPr>
        <w:pStyle w:val="FirstParagraph"/>
      </w:pPr>
      <w:r>
        <w:rPr>
          <w:bCs/>
          <w:b/>
        </w:rPr>
        <w:t xml:space="preserve">Guangzhou Pacific Trading &amp; Logistics Co., Ltd.</w:t>
      </w:r>
    </w:p>
    <w:p>
      <w:pPr>
        <w:pStyle w:val="BodyText"/>
      </w:pPr>
      <w:r>
        <w:t xml:space="preserve">Building 7, Huangpu Economic Development Zone</w:t>
      </w:r>
    </w:p>
    <w:p>
      <w:pPr>
        <w:pStyle w:val="BodyText"/>
      </w:pPr>
      <w:r>
        <w:t xml:space="preserve">No. 128 Huangpu Avenue, Huangpu District</w:t>
      </w:r>
    </w:p>
    <w:p>
      <w:pPr>
        <w:pStyle w:val="BodyText"/>
      </w:pPr>
      <w:r>
        <w:t xml:space="preserve">Guangzhou, Guangdong Province, China 510700</w:t>
      </w:r>
    </w:p>
    <w:p>
      <w:pPr>
        <w:pStyle w:val="BodyText"/>
      </w:pPr>
      <w:r>
        <w:t xml:space="preserve">Tax ID (USCC): 91440112MA9D3F6L2Q</w:t>
      </w:r>
    </w:p>
    <w:p>
      <w:pPr>
        <w:pStyle w:val="BodyText"/>
      </w:pPr>
      <w:r>
        <w:t xml:space="preserve">Contact: finance@pacifictrading-gz.com.cn</w:t>
      </w:r>
    </w:p>
    <w:p>
      <w:pPr>
        <w:pStyle w:val="BodyText"/>
      </w:pPr>
      <w:r>
        <w:t xml:space="preserve">Phone: +86-20-3891-7755</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Period</w:t>
            </w:r>
          </w:p>
        </w:tc>
        <w:tc>
          <w:tcPr/>
          <w:p>
            <w:pPr>
              <w:pStyle w:val="Compact"/>
              <w:jc w:val="left"/>
            </w:pPr>
            <w:r>
              <w:t xml:space="preserve">Rate (CNY)</w:t>
            </w:r>
          </w:p>
        </w:tc>
        <w:tc>
          <w:tcPr/>
          <w:p>
            <w:pPr>
              <w:pStyle w:val="Compact"/>
              <w:jc w:val="left"/>
            </w:pPr>
            <w:r>
              <w:t xml:space="preserve">Hours</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Annual Financial Statement Audit — Full-scope review of balance sheet, income statement, and cash flow statements for the fiscal year 2024, conducted by a certified Auditor in accordance with Chinese Accounting Standards (CAS) and International Standards on Auditing (ISA).</w:t>
            </w:r>
          </w:p>
        </w:tc>
        <w:tc>
          <w:tcPr/>
          <w:p>
            <w:pPr>
              <w:pStyle w:val="Compact"/>
              <w:jc w:val="left"/>
            </w:pPr>
            <w:r>
              <w:t xml:space="preserve">Jan 2025 – Mar 2025</w:t>
            </w:r>
          </w:p>
        </w:tc>
        <w:tc>
          <w:tcPr/>
          <w:p>
            <w:pPr>
              <w:pStyle w:val="Compact"/>
              <w:jc w:val="left"/>
            </w:pPr>
            <w:r>
              <w:t xml:space="preserve">1,200</w:t>
            </w:r>
          </w:p>
        </w:tc>
        <w:tc>
          <w:tcPr/>
          <w:p>
            <w:pPr>
              <w:pStyle w:val="Compact"/>
              <w:jc w:val="left"/>
            </w:pPr>
            <w:r>
              <w:t xml:space="preserve">120</w:t>
            </w:r>
          </w:p>
        </w:tc>
        <w:tc>
          <w:tcPr/>
          <w:p>
            <w:pPr>
              <w:pStyle w:val="Compact"/>
              <w:jc w:val="left"/>
            </w:pPr>
            <w:r>
              <w:t xml:space="preserve">144,000.00</w:t>
            </w:r>
          </w:p>
        </w:tc>
      </w:tr>
      <w:tr>
        <w:tc>
          <w:tcPr/>
          <w:p>
            <w:pPr>
              <w:pStyle w:val="Compact"/>
              <w:jc w:val="left"/>
            </w:pPr>
            <w:r>
              <w:t xml:space="preserve">2</w:t>
            </w:r>
          </w:p>
        </w:tc>
        <w:tc>
          <w:tcPr/>
          <w:p>
            <w:pPr>
              <w:pStyle w:val="Compact"/>
              <w:jc w:val="left"/>
            </w:pPr>
            <w:r>
              <w:t xml:space="preserve">Internal Control Assessment — Comprehensive evaluation of the client's internal control framework, risk management processes, and compliance procedures as part of the Auditor's statutory obligations under the Company Law of the People's Republic of China.</w:t>
            </w:r>
          </w:p>
        </w:tc>
        <w:tc>
          <w:tcPr/>
          <w:p>
            <w:pPr>
              <w:pStyle w:val="Compact"/>
              <w:jc w:val="left"/>
            </w:pPr>
            <w:r>
              <w:t xml:space="preserve">Feb 2025 – Apr 2025</w:t>
            </w:r>
          </w:p>
        </w:tc>
        <w:tc>
          <w:tcPr/>
          <w:p>
            <w:pPr>
              <w:pStyle w:val="Compact"/>
              <w:jc w:val="left"/>
            </w:pPr>
            <w:r>
              <w:t xml:space="preserve">950</w:t>
            </w:r>
          </w:p>
        </w:tc>
        <w:tc>
          <w:tcPr/>
          <w:p>
            <w:pPr>
              <w:pStyle w:val="Compact"/>
              <w:jc w:val="left"/>
            </w:pPr>
            <w:r>
              <w:t xml:space="preserve">80</w:t>
            </w:r>
          </w:p>
        </w:tc>
        <w:tc>
          <w:tcPr/>
          <w:p>
            <w:pPr>
              <w:pStyle w:val="Compact"/>
              <w:jc w:val="left"/>
            </w:pPr>
            <w:r>
              <w:t xml:space="preserve">76,000.00</w:t>
            </w:r>
          </w:p>
        </w:tc>
      </w:tr>
      <w:tr>
        <w:tc>
          <w:tcPr/>
          <w:p>
            <w:pPr>
              <w:pStyle w:val="Compact"/>
              <w:jc w:val="left"/>
            </w:pPr>
            <w:r>
              <w:t xml:space="preserve">3</w:t>
            </w:r>
          </w:p>
        </w:tc>
        <w:tc>
          <w:tcPr/>
          <w:p>
            <w:pPr>
              <w:pStyle w:val="Compact"/>
              <w:jc w:val="left"/>
            </w:pPr>
            <w:r>
              <w:t xml:space="preserve">Tax Compliance Review — Verification of corporate income tax filings, VAT declarations, and local tax obligations specific to the Guangzhou municipal tax authority. The Auditor performed substantive testing on all major tax positions.</w:t>
            </w:r>
          </w:p>
        </w:tc>
        <w:tc>
          <w:tcPr/>
          <w:p>
            <w:pPr>
              <w:pStyle w:val="Compact"/>
              <w:jc w:val="left"/>
            </w:pPr>
            <w:r>
              <w:t xml:space="preserve">Mar 2025 – Apr 2025</w:t>
            </w:r>
          </w:p>
        </w:tc>
        <w:tc>
          <w:tcPr/>
          <w:p>
            <w:pPr>
              <w:pStyle w:val="Compact"/>
              <w:jc w:val="left"/>
            </w:pPr>
            <w:r>
              <w:t xml:space="preserve">1,100</w:t>
            </w:r>
          </w:p>
        </w:tc>
        <w:tc>
          <w:tcPr/>
          <w:p>
            <w:pPr>
              <w:pStyle w:val="Compact"/>
              <w:jc w:val="left"/>
            </w:pPr>
            <w:r>
              <w:t xml:space="preserve">45</w:t>
            </w:r>
          </w:p>
        </w:tc>
        <w:tc>
          <w:tcPr/>
          <w:p>
            <w:pPr>
              <w:pStyle w:val="Compact"/>
              <w:jc w:val="left"/>
            </w:pPr>
            <w:r>
              <w:t xml:space="preserve">49,500.00</w:t>
            </w:r>
          </w:p>
        </w:tc>
      </w:tr>
      <w:tr>
        <w:tc>
          <w:tcPr/>
          <w:p>
            <w:pPr>
              <w:pStyle w:val="Compact"/>
              <w:jc w:val="left"/>
            </w:pPr>
            <w:r>
              <w:t xml:space="preserve">4</w:t>
            </w:r>
          </w:p>
        </w:tc>
        <w:tc>
          <w:tcPr/>
          <w:p>
            <w:pPr>
              <w:pStyle w:val="Compact"/>
              <w:jc w:val="left"/>
            </w:pPr>
            <w:r>
              <w:t xml:space="preserve">Foreign Investment &amp; Cross-Border Transaction Audit — Specialized Auditor engagement to review capital inflows, transfer pricing documentation, and foreign exchange compliance in line with State Administration of Foreign Exchange (SAFE) regulations applicable in China Guangzhou.</w:t>
            </w:r>
          </w:p>
        </w:tc>
        <w:tc>
          <w:tcPr/>
          <w:p>
            <w:pPr>
              <w:pStyle w:val="Compact"/>
              <w:jc w:val="left"/>
            </w:pPr>
            <w:r>
              <w:t xml:space="preserve">Apr 2025 – May 2025</w:t>
            </w:r>
          </w:p>
        </w:tc>
        <w:tc>
          <w:tcPr/>
          <w:p>
            <w:pPr>
              <w:pStyle w:val="Compact"/>
              <w:jc w:val="left"/>
            </w:pPr>
            <w:r>
              <w:t xml:space="preserve">1,500</w:t>
            </w:r>
          </w:p>
        </w:tc>
        <w:tc>
          <w:tcPr/>
          <w:p>
            <w:pPr>
              <w:pStyle w:val="Compact"/>
              <w:jc w:val="left"/>
            </w:pPr>
            <w:r>
              <w:t xml:space="preserve">60</w:t>
            </w:r>
          </w:p>
        </w:tc>
        <w:tc>
          <w:tcPr/>
          <w:p>
            <w:pPr>
              <w:pStyle w:val="Compact"/>
              <w:jc w:val="left"/>
            </w:pPr>
            <w:r>
              <w:t xml:space="preserve">90,000.00</w:t>
            </w:r>
          </w:p>
        </w:tc>
      </w:tr>
      <w:tr>
        <w:tc>
          <w:tcPr/>
          <w:p>
            <w:pPr>
              <w:pStyle w:val="Compact"/>
              <w:jc w:val="left"/>
            </w:pPr>
            <w:r>
              <w:t xml:space="preserve">5</w:t>
            </w:r>
          </w:p>
        </w:tc>
        <w:tc>
          <w:tcPr/>
          <w:p>
            <w:pPr>
              <w:pStyle w:val="Compact"/>
              <w:jc w:val="left"/>
            </w:pPr>
            <w:r>
              <w:t xml:space="preserve">Audit Report Preparation &amp; Filing — Drafting, review, and finalization of the Auditor's opinion letter, management representation letter, and submission of the audit report to the Guangzhou Municipal Administration for Market Regulation and the National Enterprise Credit Information Publicity System.</w:t>
            </w:r>
          </w:p>
        </w:tc>
        <w:tc>
          <w:tcPr/>
          <w:p>
            <w:pPr>
              <w:pStyle w:val="Compact"/>
              <w:jc w:val="left"/>
            </w:pPr>
            <w:r>
              <w:t xml:space="preserve">May 2025 – Jun 2025</w:t>
            </w:r>
          </w:p>
        </w:tc>
        <w:tc>
          <w:tcPr/>
          <w:p>
            <w:pPr>
              <w:pStyle w:val="Compact"/>
              <w:jc w:val="left"/>
            </w:pPr>
            <w:r>
              <w:t xml:space="preserve">800</w:t>
            </w:r>
          </w:p>
        </w:tc>
        <w:tc>
          <w:tcPr/>
          <w:p>
            <w:pPr>
              <w:pStyle w:val="Compact"/>
              <w:jc w:val="left"/>
            </w:pPr>
            <w:r>
              <w:t xml:space="preserve">30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Post-Audit Consultation &amp; Advisory — Follow-up meetings with the client's board of directors and CFO to discuss Auditor findings, remediation recommendations, and strategic financial planning for the upcoming fiscal year in the China Guangzhou business environment.</w:t>
            </w:r>
          </w:p>
        </w:tc>
        <w:tc>
          <w:tcPr/>
          <w:p>
            <w:pPr>
              <w:pStyle w:val="Compact"/>
              <w:jc w:val="left"/>
            </w:pPr>
            <w:r>
              <w:t xml:space="preserve">Jun 2025</w:t>
            </w:r>
          </w:p>
        </w:tc>
        <w:tc>
          <w:tcPr/>
          <w:p>
            <w:pPr>
              <w:pStyle w:val="Compact"/>
              <w:jc w:val="left"/>
            </w:pPr>
            <w:r>
              <w:t xml:space="preserve">1,000</w:t>
            </w:r>
          </w:p>
        </w:tc>
        <w:tc>
          <w:tcPr/>
          <w:p>
            <w:pPr>
              <w:pStyle w:val="Compact"/>
              <w:jc w:val="left"/>
            </w:pPr>
            <w:r>
              <w:t xml:space="preserve">16</w:t>
            </w:r>
          </w:p>
        </w:tc>
        <w:tc>
          <w:tcPr/>
          <w:p>
            <w:pPr>
              <w:pStyle w:val="Compact"/>
              <w:jc w:val="left"/>
            </w:pPr>
            <w:r>
              <w:t xml:space="preserve">16,000.00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400,000.00 CNY</w:t>
            </w:r>
          </w:p>
        </w:tc>
      </w:tr>
      <w:tr>
        <w:tc>
          <w:tcPr/>
          <w:p>
            <w:pPr>
              <w:pStyle w:val="Compact"/>
              <w:jc w:val="left"/>
            </w:pPr>
            <w:r>
              <w:t xml:space="preserve">VAT (6% Service Tax)</w:t>
            </w:r>
          </w:p>
        </w:tc>
        <w:tc>
          <w:tcPr/>
          <w:p>
            <w:pPr>
              <w:pStyle w:val="Compact"/>
              <w:jc w:val="right"/>
            </w:pPr>
            <w:r>
              <w:t xml:space="preserve">24,000.00 CNY</w:t>
            </w:r>
          </w:p>
        </w:tc>
      </w:tr>
      <w:tr>
        <w:tc>
          <w:tcPr/>
          <w:p>
            <w:pPr>
              <w:pStyle w:val="Compact"/>
              <w:jc w:val="left"/>
            </w:pPr>
            <w:r>
              <w:t xml:space="preserve">Travel &amp; Fieldwork Expenses (Guangzhou Metro Area)</w:t>
            </w:r>
          </w:p>
        </w:tc>
        <w:tc>
          <w:tcPr/>
          <w:p>
            <w:pPr>
              <w:pStyle w:val="Compact"/>
              <w:jc w:val="right"/>
            </w:pPr>
            <w:r>
              <w:t xml:space="preserve">3,500.00 CNY</w:t>
            </w:r>
          </w:p>
        </w:tc>
      </w:tr>
      <w:tr>
        <w:tc>
          <w:tcPr/>
          <w:p>
            <w:pPr>
              <w:pStyle w:val="Compact"/>
              <w:jc w:val="left"/>
            </w:pPr>
            <w:r>
              <w:t xml:space="preserve">Discount (Early Engagement Agreement)</w:t>
            </w:r>
          </w:p>
        </w:tc>
        <w:tc>
          <w:tcPr/>
          <w:p>
            <w:pPr>
              <w:pStyle w:val="Compact"/>
              <w:jc w:val="right"/>
            </w:pPr>
            <w:r>
              <w:t xml:space="preserve">-10,000.00 CNY</w:t>
            </w:r>
          </w:p>
        </w:tc>
      </w:tr>
      <w:tr>
        <w:tc>
          <w:tcPr/>
          <w:p>
            <w:pPr>
              <w:pStyle w:val="Compact"/>
              <w:jc w:val="left"/>
            </w:pPr>
            <w:r>
              <w:t xml:space="preserve">Grand Total Due</w:t>
            </w:r>
          </w:p>
        </w:tc>
        <w:tc>
          <w:tcPr/>
          <w:p>
            <w:pPr>
              <w:pStyle w:val="Compact"/>
              <w:jc w:val="right"/>
            </w:pPr>
            <w:r>
              <w:t xml:space="preserve">417,500.00 CNY</w:t>
            </w:r>
          </w:p>
        </w:tc>
      </w:tr>
    </w:tbl>
    <w:bookmarkStart w:id="22" w:name="invoice-terms-auditor-notes"/>
    <w:p>
      <w:pPr>
        <w:pStyle w:val="Heading3"/>
      </w:pPr>
      <w:r>
        <w:t xml:space="preserve">Invoice Terms &amp; Auditor Notes</w:t>
      </w:r>
    </w:p>
    <w:p>
      <w:pPr>
        <w:numPr>
          <w:ilvl w:val="0"/>
          <w:numId w:val="1001"/>
        </w:numPr>
        <w:pStyle w:val="Compact"/>
      </w:pPr>
      <w:r>
        <w:t xml:space="preserve">This Invoice is issued by the undersigned Auditor firm in full compliance with the Accounting Law of the People's Republic of China and the regulations of the Ministry of Finance of China. The Auditor has maintained full independence and objectivity throughout the engagement period.</w:t>
      </w:r>
    </w:p>
    <w:p>
      <w:pPr>
        <w:numPr>
          <w:ilvl w:val="0"/>
          <w:numId w:val="1001"/>
        </w:numPr>
        <w:pStyle w:val="Compact"/>
      </w:pPr>
      <w:r>
        <w:t xml:space="preserve">Payment of this Invoice shall be made via bank transfer to the following account: Bank of China, Guangzhou Tianhe Branch, Account Name: Guangzhou Apex Audit &amp; Advisory Firm Co., Ltd., Account No.: 7559 8821 0001 2345 678, SWIFT: BKCHCNBJGZ0.</w:t>
      </w:r>
    </w:p>
    <w:p>
      <w:pPr>
        <w:numPr>
          <w:ilvl w:val="0"/>
          <w:numId w:val="1001"/>
        </w:numPr>
        <w:pStyle w:val="Compact"/>
      </w:pPr>
      <w:r>
        <w:t xml:space="preserve">The Auditor reserves the right to issue a revised Invoice should any additional fieldwork or scope changes be required during the audit period. Any such amendments will be communicated in writing prior to the finalization of the audit report.</w:t>
      </w:r>
    </w:p>
    <w:p>
      <w:pPr>
        <w:numPr>
          <w:ilvl w:val="0"/>
          <w:numId w:val="1001"/>
        </w:numPr>
        <w:pStyle w:val="Compact"/>
      </w:pPr>
      <w:r>
        <w:t xml:space="preserve">All services rendered by the Auditor are subject to the professional standards of the Chinese Institute of Certified Public Accountants (CICPA). The Auditor's opinion on the financial statements is intended solely for the use of the client's management, board of directors, and regulatory authorities in China Guangzhou.</w:t>
      </w:r>
    </w:p>
    <w:p>
      <w:pPr>
        <w:numPr>
          <w:ilvl w:val="0"/>
          <w:numId w:val="1001"/>
        </w:numPr>
        <w:pStyle w:val="Compact"/>
      </w:pPr>
      <w:r>
        <w:t xml:space="preserve">Overdue payments on this Invoice will incur a late fee of 0.05% per calendar day as stipulated in the engagement contract dated January 5, 2025. The Auditor may suspend ongoing services until the outstanding balance is settled in full.</w:t>
      </w:r>
    </w:p>
    <w:p>
      <w:pPr>
        <w:numPr>
          <w:ilvl w:val="0"/>
          <w:numId w:val="1001"/>
        </w:numPr>
        <w:pStyle w:val="Compact"/>
      </w:pPr>
      <w:r>
        <w:t xml:space="preserve">This Invoice is valid for 90 days from the date of issue. The client is requested to retain this document for a minimum of ten (10) years in accordance with Chinese tax record-keeping requirements.</w:t>
      </w:r>
    </w:p>
    <w:p>
      <w:pPr>
        <w:numPr>
          <w:ilvl w:val="0"/>
          <w:numId w:val="1001"/>
        </w:numPr>
        <w:pStyle w:val="Compact"/>
      </w:pPr>
      <w:r>
        <w:t xml:space="preserve">The Auditor confirms that all work performed in the China Guangzhou jurisdiction adhered to data protection regulations under the Personal Information Protection Law (PIPL) and the Data Security Law of the People's Republic of China.</w:t>
      </w:r>
    </w:p>
    <w:bookmarkEnd w:id="22"/>
    <w:p>
      <w:pPr>
        <w:pStyle w:val="FirstParagraph"/>
      </w:pPr>
      <w:r>
        <w:rPr>
          <w:bCs/>
          <w:b/>
        </w:rPr>
        <w:t xml:space="preserve">Guangzhou Apex Audit &amp; Advisory Firm Co., Ltd.</w:t>
      </w:r>
      <w:r>
        <w:t xml:space="preserve"> </w:t>
      </w:r>
      <w:r>
        <w:t xml:space="preserve">— Licensed Auditor Firm, Registration No. 440100-AUD-2019-0042</w:t>
      </w:r>
    </w:p>
    <w:p>
      <w:pPr>
        <w:pStyle w:val="BodyText"/>
      </w:pPr>
      <w:r>
        <w:t xml:space="preserve">Issued in Guangzhou, Guangdong Province, China — This Invoice is generated electronically and is valid without a physical seal per the Electronic Signature Law of the PRC.</w:t>
      </w:r>
    </w:p>
    <w:p>
      <w:pPr>
        <w:pStyle w:val="BodyText"/>
      </w:pPr>
      <w:r>
        <w:t xml:space="preserve">For inquiries regarding this Invoice, please contact the Auditor's billing department at +86-20-8876-5432 or auditor@apexaudit-gz.com.cn.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China Guangzhou</dc:title>
  <dc:creator/>
  <dc:language>en</dc:language>
  <cp:keywords/>
  <dcterms:created xsi:type="dcterms:W3CDTF">2026-10-10T03:10:42Z</dcterms:created>
  <dcterms:modified xsi:type="dcterms:W3CDTF">2026-10-10T03:10:42Z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