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meridian-audit-advisory-ltd."/>
    <w:p>
      <w:pPr>
        <w:pStyle w:val="Heading1"/>
      </w:pPr>
      <w:r>
        <w:t xml:space="preserve">Shanghai Meridian Audit &amp; Advisory Ltd.</w:t>
      </w:r>
    </w:p>
    <w:p>
      <w:pPr>
        <w:pStyle w:val="FirstParagraph"/>
      </w:pPr>
      <w:r>
        <w:t xml:space="preserve">88 Pudong New Area, Lujiazui Financial District</w:t>
      </w:r>
    </w:p>
    <w:p>
      <w:pPr>
        <w:pStyle w:val="BodyText"/>
      </w:pPr>
      <w:r>
        <w:t xml:space="preserve">China Shanghai, 200120, People's Republic of China</w:t>
      </w:r>
    </w:p>
    <w:p>
      <w:pPr>
        <w:pStyle w:val="BodyText"/>
      </w:pPr>
      <w:r>
        <w:t xml:space="preserve">Tax ID (USCC): 91310000MA1FL8XK2P</w:t>
      </w:r>
    </w:p>
    <w:p>
      <w:pPr>
        <w:pStyle w:val="BodyText"/>
      </w:pPr>
      <w:r>
        <w:t xml:space="preserve">VAT Registration: 310115123456789</w:t>
      </w:r>
    </w:p>
    <w:p>
      <w:pPr>
        <w:pStyle w:val="BodyText"/>
      </w:pPr>
      <w:r>
        <w:t xml:space="preserve">Email: billing@shmeridian-audit.cn | Tel: +86-21-5888-6600</w:t>
      </w:r>
    </w:p>
    <w:bookmarkEnd w:id="20"/>
    <w:bookmarkStart w:id="21" w:name="invoice"/>
    <w:p>
      <w:pPr>
        <w:pStyle w:val="Heading2"/>
      </w:pPr>
      <w:r>
        <w:t xml:space="preserve">INVOICE</w:t>
      </w:r>
    </w:p>
    <w:p>
      <w:pPr>
        <w:pStyle w:val="FirstParagraph"/>
      </w:pPr>
      <w:r>
        <w:t xml:space="preserve">Invoice No: SM-2025-0472</w:t>
      </w:r>
    </w:p>
    <w:p>
      <w:pPr>
        <w:pStyle w:val="BodyText"/>
      </w:pPr>
      <w:r>
        <w:t xml:space="preserve">Issue Date: 15 June 2025</w:t>
      </w:r>
    </w:p>
    <w:p>
      <w:pPr>
        <w:pStyle w:val="BodyText"/>
      </w:pPr>
      <w:r>
        <w:t xml:space="preserve">Due Date: 15 July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Shanghai Horizon Manufacturing Group Co., Ltd.</w:t>
      </w:r>
    </w:p>
    <w:p>
      <w:pPr>
        <w:pStyle w:val="BodyText"/>
      </w:pPr>
      <w:r>
        <w:t xml:space="preserve">1200 Yan'an Elevated Road, Jing'an District</w:t>
      </w:r>
    </w:p>
    <w:p>
      <w:pPr>
        <w:pStyle w:val="BodyText"/>
      </w:pPr>
      <w:r>
        <w:t xml:space="preserve">China Shanghai, 200040, People's Republic of China</w:t>
      </w:r>
    </w:p>
    <w:p>
      <w:pPr>
        <w:pStyle w:val="BodyText"/>
      </w:pPr>
      <w:r>
        <w:t xml:space="preserve">Contact: Mr. Wei Zhang, CFO</w:t>
      </w:r>
    </w:p>
    <w:p>
      <w:pPr>
        <w:pStyle w:val="BodyText"/>
      </w:pPr>
      <w:r>
        <w:t xml:space="preserve">Tax ID: 91310106MA1GK3RT7B</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Jan 2025 – 31 May 2025</w:t>
      </w:r>
    </w:p>
    <w:p>
      <w:pPr>
        <w:pStyle w:val="BodyText"/>
      </w:pPr>
      <w:r>
        <w:rPr>
          <w:bCs/>
          <w:b/>
        </w:rPr>
        <w:t xml:space="preserve">Engagement Ref:</w:t>
      </w:r>
      <w:r>
        <w:t xml:space="preserve"> </w:t>
      </w:r>
      <w:r>
        <w:t xml:space="preserve">AUD-2025-SH-0091</w:t>
      </w:r>
    </w:p>
    <w:p>
      <w:pPr>
        <w:pStyle w:val="BodyText"/>
      </w:pPr>
      <w:r>
        <w:rPr>
          <w:bCs/>
          <w:b/>
        </w:rPr>
        <w:t xml:space="preserve">Lead Auditor:</w:t>
      </w:r>
      <w:r>
        <w:t xml:space="preserve"> </w:t>
      </w:r>
      <w:r>
        <w:t xml:space="preserve">Ms. Lin Xiaofeng, CPA (China)</w:t>
      </w:r>
    </w:p>
    <w:p>
      <w:pPr>
        <w:pStyle w:val="BodyText"/>
      </w:pPr>
      <w:r>
        <w:rPr>
          <w:bCs/>
          <w:b/>
        </w:rPr>
        <w:t xml:space="preserve">Currency:</w:t>
      </w:r>
      <w:r>
        <w:t xml:space="preserve"> </w:t>
      </w:r>
      <w:r>
        <w:t xml:space="preserve">CNY (Chinese Yuan Renminbi)</w:t>
      </w:r>
    </w:p>
    <w:p>
      <w:pPr>
        <w:pStyle w:val="BodyText"/>
      </w:pPr>
      <w:r>
        <w:rPr>
          <w:bCs/>
          <w:b/>
        </w:rPr>
        <w:t xml:space="preserve">Payment Method:</w:t>
      </w:r>
      <w:r>
        <w:t xml:space="preserve"> </w:t>
      </w:r>
      <w:r>
        <w:t xml:space="preserve">Bank Transfer (CNY)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(CNY/hr)</w:t>
            </w:r>
          </w:p>
        </w:tc>
        <w:tc>
          <w:tcPr/>
          <w:p>
            <w:pPr>
              <w:pStyle w:val="Compact"/>
              <w:jc w:val="left"/>
            </w:pPr>
            <w:r>
              <w:t xml:space="preserve">Hours</w:t>
            </w:r>
          </w:p>
        </w:tc>
        <w:tc>
          <w:tcPr/>
          <w:p>
            <w:pPr>
              <w:pStyle w:val="Compact"/>
              <w:jc w:val="left"/>
            </w:pPr>
            <w:r>
              <w:t xml:space="preserve">Amount (CNY)</w:t>
            </w:r>
          </w:p>
        </w:tc>
        <w:tc>
          <w:tcPr/>
          <w:p>
            <w:pPr>
              <w:pStyle w:val="Compact"/>
              <w:jc w:val="left"/>
            </w:pPr>
            <w:r>
              <w:t xml:space="preserve">VAT (6%)</w:t>
            </w:r>
          </w:p>
        </w:tc>
      </w:tr>
      <w:tr>
        <w:tc>
          <w:tcPr/>
          <w:p>
            <w:pPr>
              <w:pStyle w:val="Compact"/>
              <w:jc w:val="left"/>
            </w:pPr>
            <w:r>
              <w:t xml:space="preserve">1</w:t>
            </w:r>
          </w:p>
        </w:tc>
        <w:tc>
          <w:tcPr/>
          <w:p>
            <w:pPr>
              <w:pStyle w:val="Compact"/>
              <w:jc w:val="left"/>
            </w:pPr>
            <w:r>
              <w:t xml:space="preserve">Annual Financial Statement Audit – Preparation and execution of the full-scope Auditor engagement for fiscal year 2024, conducted in compliance with Chinese Accounting Standards (CAS) and International Standards on Auditing (ISA) as adopted in China Shanghai.</w:t>
            </w:r>
          </w:p>
        </w:tc>
        <w:tc>
          <w:tcPr/>
          <w:p>
            <w:pPr>
              <w:pStyle w:val="Compact"/>
              <w:jc w:val="left"/>
            </w:pPr>
            <w:r>
              <w:t xml:space="preserve">1,200</w:t>
            </w:r>
          </w:p>
        </w:tc>
        <w:tc>
          <w:tcPr/>
          <w:p>
            <w:pPr>
              <w:pStyle w:val="Compact"/>
              <w:jc w:val="left"/>
            </w:pPr>
            <w:r>
              <w:t xml:space="preserve">180</w:t>
            </w:r>
          </w:p>
        </w:tc>
        <w:tc>
          <w:tcPr/>
          <w:p>
            <w:pPr>
              <w:pStyle w:val="Compact"/>
              <w:jc w:val="left"/>
            </w:pPr>
            <w:r>
              <w:t xml:space="preserve">216,000.00</w:t>
            </w:r>
          </w:p>
        </w:tc>
        <w:tc>
          <w:tcPr/>
          <w:p>
            <w:pPr>
              <w:pStyle w:val="Compact"/>
              <w:jc w:val="left"/>
            </w:pPr>
            <w:r>
              <w:t xml:space="preserve">12,960.00</w:t>
            </w:r>
          </w:p>
        </w:tc>
      </w:tr>
      <w:tr>
        <w:tc>
          <w:tcPr/>
          <w:p>
            <w:pPr>
              <w:pStyle w:val="Compact"/>
              <w:jc w:val="left"/>
            </w:pPr>
            <w:r>
              <w:t xml:space="preserve">2</w:t>
            </w:r>
          </w:p>
        </w:tc>
        <w:tc>
          <w:tcPr/>
          <w:p>
            <w:pPr>
              <w:pStyle w:val="Compact"/>
              <w:jc w:val="left"/>
            </w:pPr>
            <w:r>
              <w:t xml:space="preserve">Internal Control Assessment – The Auditor team performed a comprehensive review of internal controls across all operational departments located in the China Shanghai headquarters and three regional subsidiaries, identifying 14 material weaknesses and issuing remediation recommendations.</w:t>
            </w:r>
          </w:p>
        </w:tc>
        <w:tc>
          <w:tcPr/>
          <w:p>
            <w:pPr>
              <w:pStyle w:val="Compact"/>
              <w:jc w:val="left"/>
            </w:pPr>
            <w:r>
              <w:t xml:space="preserve">1,100</w:t>
            </w:r>
          </w:p>
        </w:tc>
        <w:tc>
          <w:tcPr/>
          <w:p>
            <w:pPr>
              <w:pStyle w:val="Compact"/>
              <w:jc w:val="left"/>
            </w:pPr>
            <w:r>
              <w:t xml:space="preserve">96</w:t>
            </w:r>
          </w:p>
        </w:tc>
        <w:tc>
          <w:tcPr/>
          <w:p>
            <w:pPr>
              <w:pStyle w:val="Compact"/>
              <w:jc w:val="left"/>
            </w:pPr>
            <w:r>
              <w:t xml:space="preserve">105,600.00</w:t>
            </w:r>
          </w:p>
        </w:tc>
        <w:tc>
          <w:tcPr/>
          <w:p>
            <w:pPr>
              <w:pStyle w:val="Compact"/>
              <w:jc w:val="left"/>
            </w:pPr>
            <w:r>
              <w:t xml:space="preserve">6,336.00</w:t>
            </w:r>
          </w:p>
        </w:tc>
      </w:tr>
      <w:tr>
        <w:tc>
          <w:tcPr/>
          <w:p>
            <w:pPr>
              <w:pStyle w:val="Compact"/>
              <w:jc w:val="left"/>
            </w:pPr>
            <w:r>
              <w:t xml:space="preserve">3</w:t>
            </w:r>
          </w:p>
        </w:tc>
        <w:tc>
          <w:tcPr/>
          <w:p>
            <w:pPr>
              <w:pStyle w:val="Compact"/>
              <w:jc w:val="left"/>
            </w:pPr>
            <w:r>
              <w:t xml:space="preserve">Regulatory Compliance Audit – Verification of the client's adherence to the Company Law of the People's Republic of China, the Accounting Law, and specific regulations issued by the State Administration of Taxation applicable to entities registered in China Shanghai.</w:t>
            </w:r>
          </w:p>
        </w:tc>
        <w:tc>
          <w:tcPr/>
          <w:p>
            <w:pPr>
              <w:pStyle w:val="Compact"/>
              <w:jc w:val="left"/>
            </w:pPr>
            <w:r>
              <w:t xml:space="preserve">1,300</w:t>
            </w:r>
          </w:p>
        </w:tc>
        <w:tc>
          <w:tcPr/>
          <w:p>
            <w:pPr>
              <w:pStyle w:val="Compact"/>
              <w:jc w:val="left"/>
            </w:pPr>
            <w:r>
              <w:t xml:space="preserve">64</w:t>
            </w:r>
          </w:p>
        </w:tc>
        <w:tc>
          <w:tcPr/>
          <w:p>
            <w:pPr>
              <w:pStyle w:val="Compact"/>
              <w:jc w:val="left"/>
            </w:pPr>
            <w:r>
              <w:t xml:space="preserve">83,200.00</w:t>
            </w:r>
          </w:p>
        </w:tc>
        <w:tc>
          <w:tcPr/>
          <w:p>
            <w:pPr>
              <w:pStyle w:val="Compact"/>
              <w:jc w:val="left"/>
            </w:pPr>
            <w:r>
              <w:t xml:space="preserve">4,992.00</w:t>
            </w:r>
          </w:p>
        </w:tc>
      </w:tr>
      <w:tr>
        <w:tc>
          <w:tcPr/>
          <w:p>
            <w:pPr>
              <w:pStyle w:val="Compact"/>
              <w:jc w:val="left"/>
            </w:pPr>
            <w:r>
              <w:t xml:space="preserve">4</w:t>
            </w:r>
          </w:p>
        </w:tc>
        <w:tc>
          <w:tcPr/>
          <w:p>
            <w:pPr>
              <w:pStyle w:val="Compact"/>
              <w:jc w:val="left"/>
            </w:pPr>
            <w:r>
              <w:t xml:space="preserve">IT General Controls Audit – The Auditor conducted a detailed examination of the client's ERP system (SAP S/4HANA), access controls, data integrity protocols, and disaster recovery procedures hosted at the data center in China Shanghai.</w:t>
            </w:r>
          </w:p>
        </w:tc>
        <w:tc>
          <w:tcPr/>
          <w:p>
            <w:pPr>
              <w:pStyle w:val="Compact"/>
              <w:jc w:val="left"/>
            </w:pPr>
            <w:r>
              <w:t xml:space="preserve">1,400</w:t>
            </w:r>
          </w:p>
        </w:tc>
        <w:tc>
          <w:tcPr/>
          <w:p>
            <w:pPr>
              <w:pStyle w:val="Compact"/>
              <w:jc w:val="left"/>
            </w:pPr>
            <w:r>
              <w:t xml:space="preserve">48</w:t>
            </w:r>
          </w:p>
        </w:tc>
        <w:tc>
          <w:tcPr/>
          <w:p>
            <w:pPr>
              <w:pStyle w:val="Compact"/>
              <w:jc w:val="left"/>
            </w:pPr>
            <w:r>
              <w:t xml:space="preserve">67,200.00</w:t>
            </w:r>
          </w:p>
        </w:tc>
        <w:tc>
          <w:tcPr/>
          <w:p>
            <w:pPr>
              <w:pStyle w:val="Compact"/>
              <w:jc w:val="left"/>
            </w:pPr>
            <w:r>
              <w:t xml:space="preserve">4,032.00</w:t>
            </w:r>
          </w:p>
        </w:tc>
      </w:tr>
      <w:tr>
        <w:tc>
          <w:tcPr/>
          <w:p>
            <w:pPr>
              <w:pStyle w:val="Compact"/>
              <w:jc w:val="left"/>
            </w:pPr>
            <w:r>
              <w:t xml:space="preserve">5</w:t>
            </w:r>
          </w:p>
        </w:tc>
        <w:tc>
          <w:tcPr/>
          <w:p>
            <w:pPr>
              <w:pStyle w:val="Compact"/>
              <w:jc w:val="left"/>
            </w:pPr>
            <w:r>
              <w:t xml:space="preserve">Audit Report Issuance &amp; Management Letter – Finalization, review, and formal issuance of the Auditor's opinion letter, the management letter detailing findings, and the accompanying schedule of unadjusted differences, all prepared in accordance with the China Institute of Certified Public Accountants (CICPA) guidelines.</w:t>
            </w:r>
          </w:p>
        </w:tc>
        <w:tc>
          <w:tcPr/>
          <w:p>
            <w:pPr>
              <w:pStyle w:val="Compact"/>
              <w:jc w:val="left"/>
            </w:pPr>
            <w:r>
              <w:t xml:space="preserve">1,500</w:t>
            </w:r>
          </w:p>
        </w:tc>
        <w:tc>
          <w:tcPr/>
          <w:p>
            <w:pPr>
              <w:pStyle w:val="Compact"/>
              <w:jc w:val="left"/>
            </w:pPr>
            <w:r>
              <w:t xml:space="preserve">32</w:t>
            </w:r>
          </w:p>
        </w:tc>
        <w:tc>
          <w:tcPr/>
          <w:p>
            <w:pPr>
              <w:pStyle w:val="Compact"/>
              <w:jc w:val="left"/>
            </w:pPr>
            <w:r>
              <w:t xml:space="preserve">48,000.00</w:t>
            </w:r>
          </w:p>
        </w:tc>
        <w:tc>
          <w:tcPr/>
          <w:p>
            <w:pPr>
              <w:pStyle w:val="Compact"/>
              <w:jc w:val="left"/>
            </w:pPr>
            <w:r>
              <w:t xml:space="preserve">2,880.00</w:t>
            </w:r>
          </w:p>
        </w:tc>
      </w:tr>
      <w:tr>
        <w:tc>
          <w:tcPr/>
          <w:p>
            <w:pPr>
              <w:pStyle w:val="Compact"/>
              <w:jc w:val="left"/>
            </w:pPr>
            <w:r>
              <w:t xml:space="preserve">6</w:t>
            </w:r>
          </w:p>
        </w:tc>
        <w:tc>
          <w:tcPr/>
          <w:p>
            <w:pPr>
              <w:pStyle w:val="Compact"/>
              <w:jc w:val="left"/>
            </w:pPr>
            <w:r>
              <w:t xml:space="preserve">Board of Directors Presentation – The lead Auditor and senior team members delivered a formal presentation of audit findings, risk assessments, and strategic recommendations to the Board of Directors and Audit Committee of the client, held at the client's offices in China Shanghai.</w:t>
            </w:r>
          </w:p>
        </w:tc>
        <w:tc>
          <w:tcPr/>
          <w:p>
            <w:pPr>
              <w:pStyle w:val="Compact"/>
              <w:jc w:val="left"/>
            </w:pPr>
            <w:r>
              <w:t xml:space="preserve">1,600</w:t>
            </w:r>
          </w:p>
        </w:tc>
        <w:tc>
          <w:tcPr/>
          <w:p>
            <w:pPr>
              <w:pStyle w:val="Compact"/>
              <w:jc w:val="left"/>
            </w:pPr>
            <w:r>
              <w:t xml:space="preserve">16</w:t>
            </w:r>
          </w:p>
        </w:tc>
        <w:tc>
          <w:tcPr/>
          <w:p>
            <w:pPr>
              <w:pStyle w:val="Compact"/>
              <w:jc w:val="left"/>
            </w:pPr>
            <w:r>
              <w:t xml:space="preserve">25,600.00</w:t>
            </w:r>
          </w:p>
        </w:tc>
        <w:tc>
          <w:tcPr/>
          <w:p>
            <w:pPr>
              <w:pStyle w:val="Compact"/>
              <w:jc w:val="left"/>
            </w:pPr>
            <w:r>
              <w:t xml:space="preserve">1,536.00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rPr>
                <w:bCs/>
                <w:b/>
              </w:rPr>
              <w:t xml:space="preserve">545,600.00</w:t>
            </w:r>
          </w:p>
        </w:tc>
      </w:tr>
      <w:tr>
        <w:tc>
          <w:tcPr/>
          <w:p>
            <w:pPr>
              <w:pStyle w:val="Compact"/>
              <w:jc w:val="left"/>
            </w:pPr>
            <w:r>
              <w:t xml:space="preserve">VAT @ 6% (CNY)</w:t>
            </w:r>
          </w:p>
        </w:tc>
        <w:tc>
          <w:tcPr/>
          <w:p>
            <w:pPr>
              <w:pStyle w:val="Compact"/>
              <w:jc w:val="right"/>
            </w:pPr>
            <w:r>
              <w:rPr>
                <w:bCs/>
                <w:b/>
              </w:rPr>
              <w:t xml:space="preserve">32,736.00</w:t>
            </w:r>
          </w:p>
        </w:tc>
      </w:tr>
      <w:tr>
        <w:tc>
          <w:tcPr/>
          <w:p>
            <w:pPr>
              <w:pStyle w:val="Compact"/>
              <w:jc w:val="left"/>
            </w:pPr>
            <w:r>
              <w:t xml:space="preserve">Applicable Surcharges (Urban Construction Tax, Education Surcharge)</w:t>
            </w:r>
          </w:p>
        </w:tc>
        <w:tc>
          <w:tcPr/>
          <w:p>
            <w:pPr>
              <w:pStyle w:val="Compact"/>
              <w:jc w:val="right"/>
            </w:pPr>
            <w:r>
              <w:rPr>
                <w:bCs/>
                <w:b/>
              </w:rPr>
              <w:t xml:space="preserve">2,291.52</w:t>
            </w:r>
          </w:p>
        </w:tc>
      </w:tr>
      <w:tr>
        <w:tc>
          <w:tcPr/>
          <w:p>
            <w:pPr>
              <w:pStyle w:val="Compact"/>
              <w:jc w:val="left"/>
            </w:pPr>
            <w:r>
              <w:t xml:space="preserve">Grand Total Due (CNY)</w:t>
            </w:r>
          </w:p>
        </w:tc>
        <w:tc>
          <w:tcPr/>
          <w:p>
            <w:pPr>
              <w:pStyle w:val="Compact"/>
              <w:jc w:val="right"/>
            </w:pPr>
            <w:r>
              <w:t xml:space="preserve">580,627.52</w:t>
            </w:r>
          </w:p>
        </w:tc>
      </w:tr>
    </w:tbl>
    <w:bookmarkStart w:id="24" w:name="X6dc96f409705e862df20f51290c250110ef057d"/>
    <w:p>
      <w:pPr>
        <w:pStyle w:val="Heading3"/>
      </w:pPr>
      <w:r>
        <w:t xml:space="preserve">Important Notes Regarding This Invoice and the Auditor Engagement in China Shanghai</w:t>
      </w:r>
    </w:p>
    <w:p>
      <w:pPr>
        <w:pStyle w:val="FirstParagraph"/>
      </w:pPr>
      <w:r>
        <w:t xml:space="preserve">1. This Invoice has been issued in accordance with the Invoice Management Measures of the State Administration of Taxation of the People's Republic of China (Fapiao Regulations). A corresponding electronic Fapiao (official tax invoice) has been generated and is available for download via the client's tax portal.</w:t>
      </w:r>
    </w:p>
    <w:p>
      <w:pPr>
        <w:pStyle w:val="BodyText"/>
      </w:pPr>
      <w:r>
        <w:t xml:space="preserve">2. The Auditor engagement described in this Invoice was performed by a team of 12 certified professionals, all of whom hold valid CPA licenses issued by the CICPA and are registered with the local Audit Bureau in China Shanghai. The lead Auditor, Ms. Lin Xiaofeng, has over 18 years of experience in auditing multinational manufacturing enterprises operating in the China Shanghai region.</w:t>
      </w:r>
    </w:p>
    <w:p>
      <w:pPr>
        <w:pStyle w:val="BodyText"/>
      </w:pPr>
      <w:r>
        <w:t xml:space="preserve">3. All audit procedures were conducted at the client's primary facility in China Shanghai and at two satellite warehouses in the surrounding Pudong and Minhang districts. The Auditor team maintained strict confidentiality throughout the engagement period as stipulated in the signed Audit Engagement Letter dated 15 December 2024.</w:t>
      </w:r>
    </w:p>
    <w:p>
      <w:pPr>
        <w:pStyle w:val="BodyText"/>
      </w:pPr>
      <w:r>
        <w:t xml:space="preserve">4. Payment of this Invoice is due within 30 calendar days from the issue date. Late payments shall accrue interest at the rate of 0.05% per day as permitted under Chinese commercial contract law. Payment should be remitted to the bank account specified below.</w:t>
      </w:r>
    </w:p>
    <w:p>
      <w:pPr>
        <w:pStyle w:val="BodyText"/>
      </w:pPr>
      <w:r>
        <w:t xml:space="preserve">5. This Invoice is valid for a period of 180 days from the date of issue. After this period, the client must request a re-issued Invoice from our billing department in China Shanghai.</w:t>
      </w:r>
    </w:p>
    <w:bookmarkEnd w:id="24"/>
    <w:bookmarkStart w:id="25" w:name="payment-banking-information"/>
    <w:p>
      <w:pPr>
        <w:pStyle w:val="Heading3"/>
      </w:pPr>
      <w:r>
        <w:t xml:space="preserve">Payment &amp; Banking Information</w:t>
      </w:r>
    </w:p>
    <w:p>
      <w:pPr>
        <w:pStyle w:val="FirstParagraph"/>
      </w:pPr>
      <w:r>
        <w:rPr>
          <w:bCs/>
          <w:b/>
        </w:rPr>
        <w:t xml:space="preserve">Bank Name:</w:t>
      </w:r>
      <w:r>
        <w:t xml:space="preserve"> </w:t>
      </w:r>
      <w:r>
        <w:t xml:space="preserve">Industrial and Commercial Bank of China (ICBC), Pudong Branch, China Shanghai</w:t>
      </w:r>
    </w:p>
    <w:p>
      <w:pPr>
        <w:pStyle w:val="BodyText"/>
      </w:pPr>
      <w:r>
        <w:rPr>
          <w:bCs/>
          <w:b/>
        </w:rPr>
        <w:t xml:space="preserve">Account Name:</w:t>
      </w:r>
      <w:r>
        <w:t xml:space="preserve"> </w:t>
      </w:r>
      <w:r>
        <w:t xml:space="preserve">Shanghai Meridian Audit &amp; Advisory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ICBKCNBJSHC</w:t>
      </w:r>
    </w:p>
    <w:p>
      <w:pPr>
        <w:pStyle w:val="BodyText"/>
      </w:pPr>
      <w:r>
        <w:rPr>
          <w:bCs/>
          <w:b/>
        </w:rPr>
        <w:t xml:space="preserve">Reference:</w:t>
      </w:r>
      <w:r>
        <w:t xml:space="preserve"> </w:t>
      </w:r>
      <w:r>
        <w:t xml:space="preserve">Please cite Invoice No. SM-2025-0472 in the payment remittance advice.</w:t>
      </w:r>
    </w:p>
    <w:bookmarkEnd w:id="25"/>
    <w:bookmarkStart w:id="26" w:name="terms-and-conditions"/>
    <w:p>
      <w:pPr>
        <w:pStyle w:val="Heading3"/>
      </w:pPr>
      <w:r>
        <w:t xml:space="preserve">Terms and Conditions</w:t>
      </w:r>
    </w:p>
    <w:p>
      <w:pPr>
        <w:pStyle w:val="FirstParagraph"/>
      </w:pPr>
      <w:r>
        <w:t xml:space="preserve">This Invoice constitutes a formal request for payment for professional Auditor services rendered by Shanghai Meridian Audit &amp; Advisory Ltd. in China Shanghai. By accepting this Invoice, the client acknowledges receipt of the Auditor's final report and agrees to the terms outlined in the original Audit Engagement Contract (Ref: AEC-2024-0091). Any disputes arising from this Invoice shall be resolved through arbitration by the Shanghai Arbitration Commission in accordance with the Arbitration Law of the People's Republic of China. This Invoice is governed by the laws of the People's Republic of China. The Auditor firm reserves the right to withhold the final audit opinion letter until full payment of this Invoice has been received and verified in our accounts. All intellectual property rights in the audit workpapers, reports, and management letters remain the property of the Auditor firm unless otherwise agreed in writing.</w:t>
      </w:r>
    </w:p>
    <w:bookmarkEnd w:id="26"/>
    <w:p>
      <w:pPr>
        <w:pStyle w:val="BodyText"/>
      </w:pPr>
      <w:r>
        <w:t xml:space="preserve">Shanghai Meridian Audit &amp; Advisory Ltd. | 88 Pudong New Area, Lujiazui, China Shanghai 200120</w:t>
      </w:r>
    </w:p>
    <w:p>
      <w:pPr>
        <w:pStyle w:val="BodyText"/>
      </w:pPr>
      <w:r>
        <w:t xml:space="preserve">This Invoice was generated electronically and is valid without a physical signature. For verification, contact our billing department at +86-21-5888-6600.</w:t>
      </w:r>
    </w:p>
    <w:p>
      <w:pPr>
        <w:pStyle w:val="BodyText"/>
      </w:pPr>
      <w:r>
        <w:t xml:space="preserve">© 2025 Shanghai Meridian Audit &amp; Advisory Ltd. All rights reserved. | Invoice SM-2025-0472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China Shanghai</dc:title>
  <dc:creator/>
  <dc:language>en</dc:language>
  <cp:keywords/>
  <dcterms:created xsi:type="dcterms:W3CDTF">2026-10-10T02:15:29Z</dcterms:created>
  <dcterms:modified xsi:type="dcterms:W3CDTF">2026-10-10T02:15:29Z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