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ina-audit-compliance-s.a.s."/>
    <w:p>
      <w:pPr>
        <w:pStyle w:val="Heading1"/>
      </w:pPr>
      <w:r>
        <w:t xml:space="preserve">Andina Audit &amp; Compliance S.A.S.</w:t>
      </w:r>
    </w:p>
    <w:p>
      <w:pPr>
        <w:pStyle w:val="FirstParagraph"/>
      </w:pPr>
      <w:r>
        <w:rPr>
          <w:bCs/>
          <w:b/>
        </w:rPr>
        <w:t xml:space="preserve">NIT:</w:t>
      </w:r>
      <w:r>
        <w:t xml:space="preserve"> </w:t>
      </w:r>
      <w:r>
        <w:t xml:space="preserve">901.234.567-8</w:t>
      </w:r>
    </w:p>
    <w:p>
      <w:pPr>
        <w:pStyle w:val="BodyText"/>
      </w:pPr>
      <w:r>
        <w:rPr>
          <w:bCs/>
          <w:b/>
        </w:rPr>
        <w:t xml:space="preserve">Dirección:</w:t>
      </w:r>
      <w:r>
        <w:t xml:space="preserve"> </w:t>
      </w:r>
      <w:r>
        <w:t xml:space="preserve">Calle 93 # 15-40, Of. 602, Zona Rosa, Bogotá D.C., Colombia</w:t>
      </w:r>
    </w:p>
    <w:p>
      <w:pPr>
        <w:pStyle w:val="BodyText"/>
      </w:pPr>
      <w:r>
        <w:rPr>
          <w:bCs/>
          <w:b/>
        </w:rPr>
        <w:t xml:space="preserve">Teléfono:</w:t>
      </w:r>
      <w:r>
        <w:t xml:space="preserve"> </w:t>
      </w:r>
      <w:r>
        <w:t xml:space="preserve">+57 (601) 555 7842</w:t>
      </w:r>
    </w:p>
    <w:p>
      <w:pPr>
        <w:pStyle w:val="BodyText"/>
      </w:pPr>
      <w:r>
        <w:rPr>
          <w:bCs/>
          <w:b/>
        </w:rPr>
        <w:t xml:space="preserve">Email:</w:t>
      </w:r>
      <w:r>
        <w:t xml:space="preserve"> </w:t>
      </w:r>
      <w:r>
        <w:t xml:space="preserve">facturacion@andinaaudit.co</w:t>
      </w:r>
    </w:p>
    <w:p>
      <w:pPr>
        <w:pStyle w:val="BodyText"/>
      </w:pPr>
      <w:r>
        <w:rPr>
          <w:bCs/>
          <w:b/>
        </w:rPr>
        <w:t xml:space="preserve">Régimen Fiscal:</w:t>
      </w:r>
      <w:r>
        <w:t xml:space="preserve"> </w:t>
      </w:r>
      <w:r>
        <w:t xml:space="preserve">Régimen Ordinario – DIAN</w:t>
      </w:r>
    </w:p>
    <w:bookmarkEnd w:id="20"/>
    <w:p>
      <w:pPr>
        <w:pStyle w:val="BodyText"/>
      </w:pPr>
      <w:r>
        <w:t xml:space="preserve">Official Invoice</w:t>
      </w:r>
    </w:p>
    <w:bookmarkStart w:id="21" w:name="invoice"/>
    <w:p>
      <w:pPr>
        <w:pStyle w:val="Heading2"/>
      </w:pPr>
      <w:r>
        <w:t xml:space="preserve">INVOICE</w:t>
      </w:r>
    </w:p>
    <w:p>
      <w:pPr>
        <w:pStyle w:val="FirstParagraph"/>
      </w:pPr>
      <w:r>
        <w:rPr>
          <w:bCs/>
          <w:b/>
        </w:rPr>
        <w:t xml:space="preserve">Invoice No.:</w:t>
      </w:r>
      <w:r>
        <w:t xml:space="preserve"> </w:t>
      </w:r>
      <w:r>
        <w:t xml:space="preserve">FAC-2025-00487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Grupo Financiero del Caribe S.A.</w:t>
      </w:r>
    </w:p>
    <w:p>
      <w:pPr>
        <w:pStyle w:val="BodyText"/>
      </w:pPr>
      <w:r>
        <w:rPr>
          <w:bCs/>
          <w:b/>
        </w:rPr>
        <w:t xml:space="preserve">NIT:</w:t>
      </w:r>
      <w:r>
        <w:t xml:space="preserve"> </w:t>
      </w:r>
      <w:r>
        <w:t xml:space="preserve">830.456.789-1</w:t>
      </w:r>
    </w:p>
    <w:p>
      <w:pPr>
        <w:pStyle w:val="BodyText"/>
      </w:pPr>
      <w:r>
        <w:rPr>
          <w:bCs/>
          <w:b/>
        </w:rPr>
        <w:t xml:space="preserve">Address:</w:t>
      </w:r>
      <w:r>
        <w:t xml:space="preserve"> </w:t>
      </w:r>
      <w:r>
        <w:t xml:space="preserve">Av. El Poblado # 45-20, Medellín, Colombia</w:t>
      </w:r>
    </w:p>
    <w:p>
      <w:pPr>
        <w:pStyle w:val="BodyText"/>
      </w:pPr>
      <w:r>
        <w:rPr>
          <w:bCs/>
          <w:b/>
        </w:rPr>
        <w:t xml:space="preserve">Contact:</w:t>
      </w:r>
      <w:r>
        <w:t xml:space="preserve"> </w:t>
      </w:r>
      <w:r>
        <w:t xml:space="preserve">Laura Martínez, CFO</w:t>
      </w:r>
    </w:p>
    <w:p>
      <w:pPr>
        <w:pStyle w:val="BodyText"/>
      </w:pPr>
      <w:r>
        <w:rPr>
          <w:bCs/>
          <w:b/>
        </w:rPr>
        <w:t xml:space="preserve">Email:</w:t>
      </w:r>
      <w:r>
        <w:t xml:space="preserve"> </w:t>
      </w:r>
      <w:r>
        <w:t xml:space="preserve">l.martinez@grupocaribe.co</w:t>
      </w:r>
    </w:p>
    <w:bookmarkEnd w:id="22"/>
    <w:bookmarkStart w:id="23" w:name="service-provider-auditor"/>
    <w:p>
      <w:pPr>
        <w:pStyle w:val="Heading3"/>
      </w:pPr>
      <w:r>
        <w:t xml:space="preserve">Service Provider (Auditor)</w:t>
      </w:r>
    </w:p>
    <w:p>
      <w:pPr>
        <w:pStyle w:val="FirstParagraph"/>
      </w:pPr>
      <w:r>
        <w:rPr>
          <w:bCs/>
          <w:b/>
        </w:rPr>
        <w:t xml:space="preserve">Auditor:</w:t>
      </w:r>
      <w:r>
        <w:t xml:space="preserve"> </w:t>
      </w:r>
      <w:r>
        <w:t xml:space="preserve">Ing. Carlos Alberto Restrepo</w:t>
      </w:r>
    </w:p>
    <w:p>
      <w:pPr>
        <w:pStyle w:val="BodyText"/>
      </w:pPr>
      <w:r>
        <w:rPr>
          <w:bCs/>
          <w:b/>
        </w:rPr>
        <w:t xml:space="preserve">Professional License:</w:t>
      </w:r>
      <w:r>
        <w:t xml:space="preserve"> </w:t>
      </w:r>
      <w:r>
        <w:t xml:space="preserve">CPA-BOG-2019-4452</w:t>
      </w:r>
    </w:p>
    <w:p>
      <w:pPr>
        <w:pStyle w:val="BodyText"/>
      </w:pPr>
      <w:r>
        <w:rPr>
          <w:bCs/>
          <w:b/>
        </w:rPr>
        <w:t xml:space="preserve">Specialization:</w:t>
      </w:r>
      <w:r>
        <w:t xml:space="preserve"> </w:t>
      </w:r>
      <w:r>
        <w:t xml:space="preserve">Financial &amp; Tax Audit</w:t>
      </w:r>
    </w:p>
    <w:p>
      <w:pPr>
        <w:pStyle w:val="BodyText"/>
      </w:pPr>
      <w:r>
        <w:rPr>
          <w:bCs/>
          <w:b/>
        </w:rPr>
        <w:t xml:space="preserve">Chamber:</w:t>
      </w:r>
      <w:r>
        <w:t xml:space="preserve"> </w:t>
      </w:r>
      <w:r>
        <w:t xml:space="preserve">Cámara de Comercio de Bogotá</w:t>
      </w:r>
    </w:p>
    <w:p>
      <w:pPr>
        <w:pStyle w:val="BodyText"/>
      </w:pPr>
      <w:r>
        <w:rPr>
          <w:bCs/>
          <w:b/>
        </w:rPr>
        <w:t xml:space="preserve">Registration:</w:t>
      </w:r>
      <w:r>
        <w:t xml:space="preserve"> </w:t>
      </w:r>
      <w:r>
        <w:t xml:space="preserve">DIAN – Auditor Externo</w:t>
      </w:r>
    </w:p>
    <w:bookmarkEnd w:id="23"/>
    <w:bookmarkStart w:id="24" w:name="invoice-details"/>
    <w:p>
      <w:pPr>
        <w:pStyle w:val="Heading3"/>
      </w:pPr>
      <w:r>
        <w:t xml:space="preserve">Invoice Details</w:t>
      </w:r>
    </w:p>
    <w:p>
      <w:pPr>
        <w:pStyle w:val="FirstParagraph"/>
      </w:pPr>
      <w:r>
        <w:rPr>
          <w:bCs/>
          <w:b/>
        </w:rPr>
        <w:t xml:space="preserve">Invoice Type:</w:t>
      </w:r>
      <w:r>
        <w:t xml:space="preserve"> </w:t>
      </w:r>
      <w:r>
        <w:t xml:space="preserve">Factura Electrónica</w:t>
      </w:r>
    </w:p>
    <w:p>
      <w:pPr>
        <w:pStyle w:val="BodyText"/>
      </w:pPr>
      <w:r>
        <w:rPr>
          <w:bCs/>
          <w:b/>
        </w:rPr>
        <w:t xml:space="preserve">Payment Method:</w:t>
      </w:r>
      <w:r>
        <w:t xml:space="preserve"> </w:t>
      </w:r>
      <w:r>
        <w:t xml:space="preserve">Transferencia Bancaria</w:t>
      </w:r>
    </w:p>
    <w:p>
      <w:pPr>
        <w:pStyle w:val="BodyText"/>
      </w:pPr>
      <w:r>
        <w:rPr>
          <w:bCs/>
          <w:b/>
        </w:rPr>
        <w:t xml:space="preserve">Bank:</w:t>
      </w:r>
      <w:r>
        <w:t xml:space="preserve"> </w:t>
      </w:r>
      <w:r>
        <w:t xml:space="preserve">Bancolombia</w:t>
      </w:r>
    </w:p>
    <w:p>
      <w:pPr>
        <w:pStyle w:val="BodyText"/>
      </w:pPr>
      <w:r>
        <w:rPr>
          <w:bCs/>
          <w:b/>
        </w:rPr>
        <w:t xml:space="preserve">Account No.:</w:t>
      </w:r>
      <w:r>
        <w:t xml:space="preserve"> </w:t>
      </w:r>
      <w:r>
        <w:t xml:space="preserve">452-1234-56-78</w:t>
      </w:r>
    </w:p>
    <w:p>
      <w:pPr>
        <w:pStyle w:val="BodyText"/>
      </w:pPr>
      <w:r>
        <w:rPr>
          <w:bCs/>
          <w:b/>
        </w:rPr>
        <w:t xml:space="preserve">City of Issue:</w:t>
      </w:r>
      <w:r>
        <w:t xml:space="preserve"> </w:t>
      </w:r>
      <w:r>
        <w:t xml:space="preserve">Colombia Bogotá</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rPr>
                <w:bCs/>
                <w:b/>
              </w:rPr>
              <w:t xml:space="preserve">Annual Financial Audit</w:t>
            </w:r>
            <w:r>
              <w:t xml:space="preserve"> </w:t>
            </w:r>
            <w:r>
              <w:t xml:space="preserve">– Comprehensive review of financial statements, balance sheet, income statement, and cash flow report for fiscal year 2024. Performed by a certified Auditor in compliance with Colombian auditing standards (NIA) and IFRS.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Tax Compliance Audit</w:t>
            </w:r>
            <w:r>
              <w:t xml:space="preserve"> </w:t>
            </w:r>
            <w:r>
              <w:t xml:space="preserve">– Verification of VAT (IVA) declarations, income tax (Renta) filings, and withholding tax (Retención en la Fuente) compliance with DIAN regulations. Includes preparation of corrective tax returns if discrepancies are identified.</w:t>
            </w:r>
          </w:p>
        </w:tc>
        <w:tc>
          <w:tcPr/>
          <w:p>
            <w:pPr>
              <w:pStyle w:val="Compact"/>
              <w:jc w:val="left"/>
            </w:pPr>
            <w:r>
              <w:t xml:space="preserve">1</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3</w:t>
            </w:r>
          </w:p>
        </w:tc>
        <w:tc>
          <w:tcPr/>
          <w:p>
            <w:pPr>
              <w:pStyle w:val="Compact"/>
              <w:jc w:val="left"/>
            </w:pPr>
            <w:r>
              <w:rPr>
                <w:bCs/>
                <w:b/>
              </w:rPr>
              <w:t xml:space="preserve">Internal Controls Assessment</w:t>
            </w:r>
            <w:r>
              <w:t xml:space="preserve"> </w:t>
            </w:r>
            <w:r>
              <w:t xml:space="preserve">– Evaluation of internal control frameworks, risk management processes, and governance structures. The Auditor will issue a detailed report with recommendations for improvement aligned with COSO framework.</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4</w:t>
            </w:r>
          </w:p>
        </w:tc>
        <w:tc>
          <w:tcPr/>
          <w:p>
            <w:pPr>
              <w:pStyle w:val="Compact"/>
              <w:jc w:val="left"/>
            </w:pPr>
            <w:r>
              <w:rPr>
                <w:bCs/>
                <w:b/>
              </w:rPr>
              <w:t xml:space="preserve">Forensic Audit – Special Investigation</w:t>
            </w:r>
            <w:r>
              <w:t xml:space="preserve"> </w:t>
            </w:r>
            <w:r>
              <w:t xml:space="preserve">– Targeted investigation into irregular transactions identified in Q4 2024. Includes data analytics, interviews, and preparation of a forensic report suitable for legal proceedings in Colombia Bogotá courts.</w:t>
            </w:r>
          </w:p>
        </w:tc>
        <w:tc>
          <w:tcPr/>
          <w:p>
            <w:pPr>
              <w:pStyle w:val="Compact"/>
              <w:jc w:val="left"/>
            </w:pPr>
            <w:r>
              <w:t xml:space="preserve">1</w:t>
            </w:r>
          </w:p>
        </w:tc>
        <w:tc>
          <w:tcPr/>
          <w:p>
            <w:pPr>
              <w:pStyle w:val="Compact"/>
              <w:jc w:val="left"/>
            </w:pPr>
            <w:r>
              <w:t xml:space="preserve">15.200.000</w:t>
            </w:r>
          </w:p>
        </w:tc>
        <w:tc>
          <w:tcPr/>
          <w:p>
            <w:pPr>
              <w:pStyle w:val="Compact"/>
              <w:jc w:val="left"/>
            </w:pPr>
            <w:r>
              <w:t xml:space="preserve">15.200.000</w:t>
            </w:r>
          </w:p>
        </w:tc>
      </w:tr>
      <w:tr>
        <w:tc>
          <w:tcPr/>
          <w:p>
            <w:pPr>
              <w:pStyle w:val="Compact"/>
              <w:jc w:val="left"/>
            </w:pPr>
            <w:r>
              <w:t xml:space="preserve">5</w:t>
            </w:r>
          </w:p>
        </w:tc>
        <w:tc>
          <w:tcPr/>
          <w:p>
            <w:pPr>
              <w:pStyle w:val="Compact"/>
              <w:jc w:val="left"/>
            </w:pPr>
            <w:r>
              <w:rPr>
                <w:bCs/>
                <w:b/>
              </w:rPr>
              <w:t xml:space="preserve">Management Consultation &amp; Reporting</w:t>
            </w:r>
            <w:r>
              <w:t xml:space="preserve"> </w:t>
            </w:r>
            <w:r>
              <w:t xml:space="preserve">– Two on-site consultation sessions in Colombia Bogotá (client headquarters) and one virtual session. Includes delivery of a final consolidated Auditor report with executive summary, findings, and action plan.</w:t>
            </w:r>
          </w:p>
        </w:tc>
        <w:tc>
          <w:tcPr/>
          <w:p>
            <w:pPr>
              <w:pStyle w:val="Compact"/>
              <w:jc w:val="left"/>
            </w:pPr>
            <w:r>
              <w:t xml:space="preserve">3</w:t>
            </w:r>
          </w:p>
        </w:tc>
        <w:tc>
          <w:tcPr/>
          <w:p>
            <w:pPr>
              <w:pStyle w:val="Compact"/>
              <w:jc w:val="left"/>
            </w:pPr>
            <w:r>
              <w:t xml:space="preserve">2.400.000</w:t>
            </w:r>
          </w:p>
        </w:tc>
        <w:tc>
          <w:tcPr/>
          <w:p>
            <w:pPr>
              <w:pStyle w:val="Compact"/>
              <w:jc w:val="left"/>
            </w:pPr>
            <w:r>
              <w:t xml:space="preserve">7.200.000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63.000.000</w:t>
            </w:r>
          </w:p>
        </w:tc>
      </w:tr>
      <w:tr>
        <w:tc>
          <w:tcPr/>
          <w:p>
            <w:pPr>
              <w:pStyle w:val="Compact"/>
              <w:jc w:val="left"/>
            </w:pPr>
            <w:r>
              <w:t xml:space="preserve">IVA 19% (COP)</w:t>
            </w:r>
          </w:p>
        </w:tc>
        <w:tc>
          <w:tcPr/>
          <w:p>
            <w:pPr>
              <w:pStyle w:val="Compact"/>
              <w:jc w:val="left"/>
            </w:pPr>
            <w:r>
              <w:t xml:space="preserve">11.970.000</w:t>
            </w:r>
          </w:p>
        </w:tc>
      </w:tr>
      <w:tr>
        <w:tc>
          <w:tcPr/>
          <w:p>
            <w:pPr>
              <w:pStyle w:val="Compact"/>
              <w:jc w:val="left"/>
            </w:pPr>
            <w:r>
              <w:t xml:space="preserve">Discount (COP)</w:t>
            </w:r>
          </w:p>
        </w:tc>
        <w:tc>
          <w:tcPr/>
          <w:p>
            <w:pPr>
              <w:pStyle w:val="Compact"/>
              <w:jc w:val="left"/>
            </w:pPr>
            <w:r>
              <w:t xml:space="preserve">(0)</w:t>
            </w:r>
          </w:p>
        </w:tc>
      </w:tr>
      <w:tr>
        <w:tc>
          <w:tcPr/>
          <w:p>
            <w:pPr>
              <w:pStyle w:val="Compact"/>
              <w:jc w:val="left"/>
            </w:pPr>
            <w:r>
              <w:t xml:space="preserve">TOTAL INVOICE (COP)</w:t>
            </w:r>
          </w:p>
        </w:tc>
        <w:tc>
          <w:tcPr/>
          <w:p>
            <w:pPr>
              <w:pStyle w:val="Compact"/>
              <w:jc w:val="left"/>
            </w:pPr>
            <w:r>
              <w:t xml:space="preserve">74.970.000</w:t>
            </w:r>
          </w:p>
        </w:tc>
      </w:tr>
    </w:tbl>
    <w:bookmarkStart w:id="25" w:name="important-notes-regarding-this-invoice"/>
    <w:p>
      <w:pPr>
        <w:pStyle w:val="Heading3"/>
      </w:pPr>
      <w:r>
        <w:t xml:space="preserve">Important Notes Regarding This Invoice</w:t>
      </w:r>
    </w:p>
    <w:p>
      <w:pPr>
        <w:pStyle w:val="FirstParagraph"/>
      </w:pPr>
      <w:r>
        <w:t xml:space="preserve">1. This Invoice is issued in accordance with the electronic invoicing regulations established by the DIAN (Dirección de Impuestos y Aduanas Nacionales) of Colombia. The document has been validated through the authorized electronic invoicing platform.</w:t>
      </w:r>
    </w:p>
    <w:p>
      <w:pPr>
        <w:pStyle w:val="BodyText"/>
      </w:pPr>
      <w:r>
        <w:t xml:space="preserve">2. The Auditor services described in this Invoice are subject to the professional confidentiality obligations established under Colombian Law 1314 of 2009 (Estatuto Tributario) and the professional code of ethics of the Colombian Institute of Certified Public Accountants (ICPC).</w:t>
      </w:r>
    </w:p>
    <w:p>
      <w:pPr>
        <w:pStyle w:val="BodyText"/>
      </w:pPr>
      <w:r>
        <w:t xml:space="preserve">3. Payment is due within thirty (30) calendar days from the date of issue. Late payments will incur a monthly interest rate equal to the maximum rate established by the Superintendencia Financiera de Colombia.</w:t>
      </w:r>
    </w:p>
    <w:p>
      <w:pPr>
        <w:pStyle w:val="BodyText"/>
      </w:pPr>
      <w:r>
        <w:t xml:space="preserve">4. The Auditor retains the right to issue supplementary invoices for additional fieldwork, travel expenses within Colombia Bogotá metropolitan area, or extended forensic investigation hours not covered under the original engagement letter.</w:t>
      </w:r>
    </w:p>
    <w:p>
      <w:pPr>
        <w:pStyle w:val="BodyText"/>
      </w:pPr>
      <w:r>
        <w:t xml:space="preserve">5. This Invoice does not constitute a final audit opinion. The Auditor's formal opinion letter will be delivered separately upon completion of all procedures outlined in the engagement contract dated December 20, 2024.</w:t>
      </w:r>
    </w:p>
    <w:bookmarkEnd w:id="25"/>
    <w:p>
      <w:pPr>
        <w:pStyle w:val="BodyText"/>
      </w:pPr>
      <w:r>
        <w:rPr>
          <w:bCs/>
          <w:b/>
        </w:rPr>
        <w:t xml:space="preserve">Legal Notice:</w:t>
      </w:r>
      <w:r>
        <w:t xml:space="preserve"> </w:t>
      </w:r>
      <w:r>
        <w:t xml:space="preserve">Andina Audit &amp; Compliance S.A.S. is a legally registered entity in Colombia Bogotá, operating under the commercial registry of the Cámara de Comercio de Bogotá (Radicado No. 2019-004521). All Auditor services are performed in strict compliance with the Colombian Commercial Code, the Estatuto Tributario, and the International Standards on Auditing (ISA) adopted by the ICPC.</w:t>
      </w:r>
    </w:p>
    <w:p>
      <w:pPr>
        <w:pStyle w:val="BodyText"/>
      </w:pPr>
      <w:r>
        <w:rPr>
          <w:bCs/>
          <w:b/>
        </w:rPr>
        <w:t xml:space="preserve">Data Protection:</w:t>
      </w:r>
      <w:r>
        <w:t xml:space="preserve"> </w:t>
      </w:r>
      <w:r>
        <w:t xml:space="preserve">In accordance with Law 1581 of 2012 (Ley de Protección de Datos Personales) and Decree 1377 of 2013, the personal and commercial data contained in this Invoice will be processed solely for the purposes of tax compliance, billing, and professional service delivery. The data controller is Andina Audit &amp; Compliance S.A.S., located in Colombia Bogotá.</w:t>
      </w:r>
    </w:p>
    <w:p>
      <w:pPr>
        <w:pStyle w:val="BodyText"/>
      </w:pPr>
      <w:r>
        <w:rPr>
          <w:bCs/>
          <w:b/>
        </w:rPr>
        <w:t xml:space="preserve">Dispute Resolution:</w:t>
      </w:r>
      <w:r>
        <w:t xml:space="preserve"> </w:t>
      </w:r>
      <w:r>
        <w:t xml:space="preserve">Any dispute arising from this Invoice or the associated Auditor engagement shall be resolved through the competent commercial courts of Colombia Bogotá, or through arbitration before the Centro de Arbitraje y Conciliación de la Cámara de Comercio de Bogotá, at the option of the client.</w:t>
      </w:r>
    </w:p>
    <w:p>
      <w:pPr>
        <w:pStyle w:val="BodyText"/>
      </w:pPr>
      <w:r>
        <w:t xml:space="preserve">This document is valid as an original electronic Invoice for all tax, legal, and accounting purposes in the Republic of Colombia. No physical signature is required per DIAN Resolution 000110 of 2019.</w:t>
      </w:r>
    </w:p>
    <w:p>
      <w:pPr>
        <w:pStyle w:val="BodyText"/>
      </w:pPr>
      <w:r>
        <w:rPr>
          <w:bCs/>
          <w:b/>
        </w:rPr>
        <w:t xml:space="preserve">Ing. Carlos Alberto Restrepo</w:t>
      </w:r>
      <w:r>
        <w:br/>
      </w:r>
      <w:r>
        <w:t xml:space="preserve">Lead Auditor – Andina Audit &amp; Compliance S.A.S.</w:t>
      </w:r>
      <w:r>
        <w:br/>
      </w:r>
      <w:r>
        <w:t xml:space="preserve">CPA-BOG-2019-4452</w:t>
      </w:r>
    </w:p>
    <w:p>
      <w:pPr>
        <w:pStyle w:val="BodyText"/>
      </w:pPr>
      <w:r>
        <w:rPr>
          <w:bCs/>
          <w:b/>
        </w:rPr>
        <w:t xml:space="preserve">Received by (Client)</w:t>
      </w:r>
      <w:r>
        <w:br/>
      </w:r>
      <w:r>
        <w:t xml:space="preserve">Grupo Financiero del Caribe S.A.</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Colombia Bogotá</dc:title>
  <dc:creator/>
  <dc:language>en</dc:language>
  <cp:keywords/>
  <dcterms:created xsi:type="dcterms:W3CDTF">2026-10-10T02:42:06Z</dcterms:created>
  <dcterms:modified xsi:type="dcterms:W3CDTF">2026-10-10T02:42:06Z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