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andina-audit-compliance-group-s.a.s."/>
    <w:p>
      <w:pPr>
        <w:pStyle w:val="Heading1"/>
      </w:pPr>
      <w:r>
        <w:t xml:space="preserve">Andina Audit &amp; Compliance Group S.A.S.</w:t>
      </w:r>
    </w:p>
    <w:p>
      <w:pPr>
        <w:pStyle w:val="FirstParagraph"/>
      </w:pPr>
      <w:r>
        <w:t xml:space="preserve">Calle 43 # 45-12, Of. 801, El Poblado</w:t>
      </w:r>
    </w:p>
    <w:p>
      <w:pPr>
        <w:pStyle w:val="BodyText"/>
      </w:pPr>
      <w:r>
        <w:t xml:space="preserve">Medellín, Antioquia, Colombia</w:t>
      </w:r>
    </w:p>
    <w:p>
      <w:pPr>
        <w:pStyle w:val="BodyText"/>
      </w:pPr>
      <w:r>
        <w:t xml:space="preserve">NIT: 901.234.567-8 | RUT: 901234567-8</w:t>
      </w:r>
    </w:p>
    <w:p>
      <w:pPr>
        <w:pStyle w:val="BodyText"/>
      </w:pPr>
      <w:r>
        <w:t xml:space="preserve">Phone: +57 (604) 444 5566 | Email: billing@andinaaudit.co</w:t>
      </w:r>
    </w:p>
    <w:p>
      <w:pPr>
        <w:pStyle w:val="BodyText"/>
      </w:pPr>
      <w:r>
        <w:t xml:space="preserve">Registered Auditor Firm – DIAN Colombia</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of Issue: June 15, 2025</w:t>
      </w:r>
    </w:p>
    <w:p>
      <w:pPr>
        <w:pStyle w:val="BodyText"/>
      </w:pPr>
      <w:r>
        <w:t xml:space="preserve">Due Date: July 15, 2025</w:t>
      </w:r>
    </w:p>
    <w:p>
      <w:pPr>
        <w:pStyle w:val="BodyText"/>
      </w:pPr>
      <w:r>
        <w:t xml:space="preserve">Service Period: May 1 – May 31, 2025</w:t>
      </w:r>
    </w:p>
    <w:bookmarkEnd w:id="21"/>
    <w:bookmarkStart w:id="22" w:name="billed-to-client"/>
    <w:p>
      <w:pPr>
        <w:pStyle w:val="Heading3"/>
      </w:pPr>
      <w:r>
        <w:t xml:space="preserve">Billed To (Client)</w:t>
      </w:r>
    </w:p>
    <w:p>
      <w:pPr>
        <w:pStyle w:val="FirstParagraph"/>
      </w:pPr>
      <w:r>
        <w:rPr>
          <w:bCs/>
          <w:b/>
        </w:rPr>
        <w:t xml:space="preserve">Grupo Industrial del Valle S.A.</w:t>
      </w:r>
    </w:p>
    <w:p>
      <w:pPr>
        <w:pStyle w:val="BodyText"/>
      </w:pPr>
      <w:r>
        <w:t xml:space="preserve">Attn: María Fernanda Restrepo, CFO</w:t>
      </w:r>
    </w:p>
    <w:p>
      <w:pPr>
        <w:pStyle w:val="BodyText"/>
      </w:pPr>
      <w:r>
        <w:t xml:space="preserve">Carrera 50 # 25-30, Torre B, Piso 14</w:t>
      </w:r>
    </w:p>
    <w:p>
      <w:pPr>
        <w:pStyle w:val="BodyText"/>
      </w:pPr>
      <w:r>
        <w:t xml:space="preserve">Medellín, Antioquia, Colombia</w:t>
      </w:r>
    </w:p>
    <w:p>
      <w:pPr>
        <w:pStyle w:val="BodyText"/>
      </w:pPr>
      <w:r>
        <w:t xml:space="preserve">NIT: 830.456.789-1</w:t>
      </w:r>
    </w:p>
    <w:bookmarkEnd w:id="22"/>
    <w:bookmarkStart w:id="23" w:name="invoice-details"/>
    <w:p>
      <w:pPr>
        <w:pStyle w:val="Heading3"/>
      </w:pPr>
      <w:r>
        <w:t xml:space="preserve">Invoice Details</w:t>
      </w:r>
    </w:p>
    <w:p>
      <w:pPr>
        <w:pStyle w:val="FirstParagraph"/>
      </w:pPr>
      <w:r>
        <w:rPr>
          <w:bCs/>
          <w:b/>
        </w:rPr>
        <w:t xml:space="preserve">Invoice Type:</w:t>
      </w:r>
      <w:r>
        <w:t xml:space="preserve"> </w:t>
      </w:r>
      <w:r>
        <w:t xml:space="preserve">Factura Electrónica (DIAN)</w:t>
      </w:r>
    </w:p>
    <w:p>
      <w:pPr>
        <w:pStyle w:val="BodyText"/>
      </w:pPr>
      <w:r>
        <w:rPr>
          <w:bCs/>
          <w:b/>
        </w:rPr>
        <w:t xml:space="preserve">Reference:</w:t>
      </w:r>
      <w:r>
        <w:t xml:space="preserve"> </w:t>
      </w:r>
      <w:r>
        <w:t xml:space="preserve">Contract AUD-2025-112</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Bancolombia</w:t>
      </w:r>
    </w:p>
    <w:p>
      <w:pPr>
        <w:pStyle w:val="BodyText"/>
      </w:pPr>
      <w:r>
        <w:rPr>
          <w:bCs/>
          <w:b/>
        </w:rPr>
        <w:t xml:space="preserve">Account No.:</w:t>
      </w:r>
      <w:r>
        <w:t xml:space="preserve"> </w:t>
      </w:r>
      <w:r>
        <w:t xml:space="preserve">452-1234-56-78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Financial Statement Audit – Annual Review of consolidated financial records for Grupo Industrial del Valle S.A. conducted by a certified Auditor in compliance with Colombian GAAP (NIC/IFRS) and DIAN regulations in Medellín.</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Internal Controls Assessment – Comprehensive evaluation of internal control frameworks, risk management protocols, and compliance procedures across all operational departments located in the Medellín metropolitan area.</w:t>
            </w:r>
          </w:p>
        </w:tc>
        <w:tc>
          <w:tcPr/>
          <w:p>
            <w:pPr>
              <w:pStyle w:val="Compact"/>
              <w:jc w:val="left"/>
            </w:pPr>
            <w:r>
              <w:t xml:space="preserve">80</w:t>
            </w:r>
          </w:p>
        </w:tc>
        <w:tc>
          <w:tcPr/>
          <w:p>
            <w:pPr>
              <w:pStyle w:val="Compact"/>
              <w:jc w:val="left"/>
            </w:pPr>
            <w:r>
              <w:t xml:space="preserve">$175,000</w:t>
            </w:r>
          </w:p>
        </w:tc>
        <w:tc>
          <w:tcPr/>
          <w:p>
            <w:pPr>
              <w:pStyle w:val="Compact"/>
              <w:jc w:val="left"/>
            </w:pPr>
            <w:r>
              <w:t xml:space="preserve">$14,000,000</w:t>
            </w:r>
          </w:p>
        </w:tc>
      </w:tr>
      <w:tr>
        <w:tc>
          <w:tcPr/>
          <w:p>
            <w:pPr>
              <w:pStyle w:val="Compact"/>
              <w:jc w:val="left"/>
            </w:pPr>
            <w:r>
              <w:t xml:space="preserve">3</w:t>
            </w:r>
          </w:p>
        </w:tc>
        <w:tc>
          <w:tcPr/>
          <w:p>
            <w:pPr>
              <w:pStyle w:val="Compact"/>
              <w:jc w:val="left"/>
            </w:pPr>
            <w:r>
              <w:t xml:space="preserve">Tax Compliance Audit – Verification of VAT (IVA), income tax (Renta), and withholding tax filings submitted to DIAN. The Auditor reviewed 24 monthly declarations and 4 quarterly reports for accuracy and regulatory alignment.</w:t>
            </w:r>
          </w:p>
        </w:tc>
        <w:tc>
          <w:tcPr/>
          <w:p>
            <w:pPr>
              <w:pStyle w:val="Compact"/>
              <w:jc w:val="left"/>
            </w:pPr>
            <w:r>
              <w:t xml:space="preserve">60</w:t>
            </w:r>
          </w:p>
        </w:tc>
        <w:tc>
          <w:tcPr/>
          <w:p>
            <w:pPr>
              <w:pStyle w:val="Compact"/>
              <w:jc w:val="left"/>
            </w:pPr>
            <w:r>
              <w:t xml:space="preserve">$195,000</w:t>
            </w:r>
          </w:p>
        </w:tc>
        <w:tc>
          <w:tcPr/>
          <w:p>
            <w:pPr>
              <w:pStyle w:val="Compact"/>
              <w:jc w:val="left"/>
            </w:pPr>
            <w:r>
              <w:t xml:space="preserve">$11,700,000</w:t>
            </w:r>
          </w:p>
        </w:tc>
      </w:tr>
      <w:tr>
        <w:tc>
          <w:tcPr/>
          <w:p>
            <w:pPr>
              <w:pStyle w:val="Compact"/>
              <w:jc w:val="left"/>
            </w:pPr>
            <w:r>
              <w:t xml:space="preserve">4</w:t>
            </w:r>
          </w:p>
        </w:tc>
        <w:tc>
          <w:tcPr/>
          <w:p>
            <w:pPr>
              <w:pStyle w:val="Compact"/>
              <w:jc w:val="left"/>
            </w:pPr>
            <w:r>
              <w:t xml:space="preserve">Forensic Accounting &amp; Fraud Detection – Specialized investigation into irregular transactions identified during the preliminary review phase. The Auditor performed transaction tracing, data analytics, and interviews with key personnel in Medellín.</w:t>
            </w:r>
          </w:p>
        </w:tc>
        <w:tc>
          <w:tcPr/>
          <w:p>
            <w:pPr>
              <w:pStyle w:val="Compact"/>
              <w:jc w:val="left"/>
            </w:pPr>
            <w:r>
              <w:t xml:space="preserve">45</w:t>
            </w:r>
          </w:p>
        </w:tc>
        <w:tc>
          <w:tcPr/>
          <w:p>
            <w:pPr>
              <w:pStyle w:val="Compact"/>
              <w:jc w:val="left"/>
            </w:pPr>
            <w:r>
              <w:t xml:space="preserve">$220,000</w:t>
            </w:r>
          </w:p>
        </w:tc>
        <w:tc>
          <w:tcPr/>
          <w:p>
            <w:pPr>
              <w:pStyle w:val="Compact"/>
              <w:jc w:val="left"/>
            </w:pPr>
            <w:r>
              <w:t xml:space="preserve">$9,900,000</w:t>
            </w:r>
          </w:p>
        </w:tc>
      </w:tr>
      <w:tr>
        <w:tc>
          <w:tcPr/>
          <w:p>
            <w:pPr>
              <w:pStyle w:val="Compact"/>
              <w:jc w:val="left"/>
            </w:pPr>
            <w:r>
              <w:t xml:space="preserve">5</w:t>
            </w:r>
          </w:p>
        </w:tc>
        <w:tc>
          <w:tcPr/>
          <w:p>
            <w:pPr>
              <w:pStyle w:val="Compact"/>
              <w:jc w:val="left"/>
            </w:pPr>
            <w:r>
              <w:t xml:space="preserve">Management Reporting &amp; Advisory – Preparation of the final audit report, executive summary, and strategic recommendations for the Board of Directors. Includes a 3-hour in-person presentation at the client's headquarters in Medellín.</w:t>
            </w:r>
          </w:p>
        </w:tc>
        <w:tc>
          <w:tcPr/>
          <w:p>
            <w:pPr>
              <w:pStyle w:val="Compact"/>
              <w:jc w:val="left"/>
            </w:pPr>
            <w:r>
              <w:t xml:space="preserve">30</w:t>
            </w:r>
          </w:p>
        </w:tc>
        <w:tc>
          <w:tcPr/>
          <w:p>
            <w:pPr>
              <w:pStyle w:val="Compact"/>
              <w:jc w:val="left"/>
            </w:pPr>
            <w:r>
              <w:t xml:space="preserve">$200,000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Travel &amp; Fieldwork Expenses – On-site inspections at three warehouse facilities in the Medellín region, including transportation, per diem, and documentation retrieval costs incurred by the Auditor team.</w:t>
            </w:r>
          </w:p>
        </w:tc>
        <w:tc>
          <w:tcPr/>
          <w:p>
            <w:pPr>
              <w:pStyle w:val="Compact"/>
              <w:jc w:val="left"/>
            </w:pPr>
            <w:r>
              <w:t xml:space="preserve">—</w:t>
            </w:r>
          </w:p>
        </w:tc>
        <w:tc>
          <w:tcPr/>
          <w:p>
            <w:pPr>
              <w:pStyle w:val="Compact"/>
              <w:jc w:val="left"/>
            </w:pPr>
            <w:r>
              <w:t xml:space="preserve">—</w:t>
            </w:r>
          </w:p>
        </w:tc>
        <w:tc>
          <w:tcPr/>
          <w:p>
            <w:pPr>
              <w:pStyle w:val="Compact"/>
              <w:jc w:val="left"/>
            </w:pPr>
            <w:r>
              <w:t xml:space="preserve">$2,450,000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$66,250,000</w:t>
            </w:r>
          </w:p>
        </w:tc>
      </w:tr>
      <w:tr>
        <w:tc>
          <w:tcPr/>
          <w:p>
            <w:pPr>
              <w:pStyle w:val="Compact"/>
              <w:jc w:val="left"/>
            </w:pPr>
            <w:r>
              <w:t xml:space="preserve">VAT – IVA 19% (COP)</w:t>
            </w:r>
          </w:p>
        </w:tc>
        <w:tc>
          <w:tcPr/>
          <w:p>
            <w:pPr>
              <w:pStyle w:val="Compact"/>
              <w:jc w:val="right"/>
            </w:pPr>
            <w:r>
              <w:t xml:space="preserve">$12,587,500</w:t>
            </w:r>
          </w:p>
        </w:tc>
      </w:tr>
      <w:tr>
        <w:tc>
          <w:tcPr/>
          <w:p>
            <w:pPr>
              <w:pStyle w:val="Compact"/>
              <w:jc w:val="left"/>
            </w:pPr>
            <w:r>
              <w:t xml:space="preserve">Withholding Tax – Renta 4% (COP)</w:t>
            </w:r>
          </w:p>
        </w:tc>
        <w:tc>
          <w:tcPr/>
          <w:p>
            <w:pPr>
              <w:pStyle w:val="Compact"/>
              <w:jc w:val="right"/>
            </w:pPr>
            <w:r>
              <w:t xml:space="preserve">($2,650,000)</w:t>
            </w:r>
          </w:p>
        </w:tc>
      </w:tr>
      <w:tr>
        <w:tc>
          <w:tcPr/>
          <w:p>
            <w:pPr>
              <w:pStyle w:val="Compact"/>
              <w:jc w:val="left"/>
            </w:pPr>
            <w:r>
              <w:t xml:space="preserve">NET AMOUNT DUE (COP)</w:t>
            </w:r>
          </w:p>
        </w:tc>
        <w:tc>
          <w:tcPr/>
          <w:p>
            <w:pPr>
              <w:pStyle w:val="Compact"/>
              <w:jc w:val="right"/>
            </w:pPr>
            <w:r>
              <w:t xml:space="preserve">$76,187,500</w:t>
            </w:r>
          </w:p>
        </w:tc>
      </w:tr>
      <w:tr>
        <w:tc>
          <w:tcPr>
            <w:gridSpan w:val="2"/>
          </w:tcPr>
          <w:p>
            <w:pPr>
              <w:pStyle w:val="Compact"/>
              <w:jc w:val="left"/>
            </w:pPr>
            <w:r>
              <w:t xml:space="preserve">Approx. USD $19,046.88 at exchange rate 4,000 COP/USD</w:t>
            </w:r>
          </w:p>
        </w:tc>
      </w:tr>
    </w:tbl>
    <w:bookmarkStart w:id="24" w:name="terms-conditions-notes"/>
    <w:p>
      <w:pPr>
        <w:pStyle w:val="Heading3"/>
      </w:pPr>
      <w:r>
        <w:t xml:space="preserve">Terms, Conditions &amp; Notes</w:t>
      </w:r>
    </w:p>
    <w:p>
      <w:pPr>
        <w:pStyle w:val="FirstParagraph"/>
      </w:pPr>
      <w:r>
        <w:rPr>
          <w:bCs/>
          <w:b/>
        </w:rPr>
        <w:t xml:space="preserve">1. Payment Terms:</w:t>
      </w:r>
      <w:r>
        <w:t xml:space="preserve"> </w:t>
      </w:r>
      <w:r>
        <w:t xml:space="preserve">This Invoice must be settled in full within thirty (30) calendar days from the date of issue. Late payments will accrue a monthly interest rate of 1.5% in accordance with Colombian commercial law (Código de Comercio, Art. 879).</w:t>
      </w:r>
    </w:p>
    <w:p>
      <w:pPr>
        <w:pStyle w:val="BodyText"/>
      </w:pPr>
      <w:r>
        <w:rPr>
          <w:bCs/>
          <w:b/>
        </w:rPr>
        <w:t xml:space="preserve">2. Auditor Independence:</w:t>
      </w:r>
      <w:r>
        <w:t xml:space="preserve"> </w:t>
      </w:r>
      <w:r>
        <w:t xml:space="preserve">The Auditor and all team members engaged on this engagement have confirmed their independence in accordance with the Colombian Standards for Professional Accountants (NORMAS DE AUDITORÍA – NIA) and the Code of Ethics issued by the Consejo Técnico de la Contaduría Pública (CTCP).</w:t>
      </w:r>
    </w:p>
    <w:p>
      <w:pPr>
        <w:pStyle w:val="BodyText"/>
      </w:pPr>
      <w:r>
        <w:rPr>
          <w:bCs/>
          <w:b/>
        </w:rPr>
        <w:t xml:space="preserve">3. Scope of Work:</w:t>
      </w:r>
      <w:r>
        <w:t xml:space="preserve"> </w:t>
      </w:r>
      <w:r>
        <w:t xml:space="preserve">The services described in this Invoice were performed in strict compliance with the engagement letter signed on April 1, 2025. Any additional procedures or extended fieldwork beyond the agreed scope will be subject to a supplementary Invoice.</w:t>
      </w:r>
    </w:p>
    <w:p>
      <w:pPr>
        <w:pStyle w:val="BodyText"/>
      </w:pPr>
      <w:r>
        <w:rPr>
          <w:bCs/>
          <w:b/>
        </w:rPr>
        <w:t xml:space="preserve">4. Regulatory Compliance:</w:t>
      </w:r>
      <w:r>
        <w:t xml:space="preserve"> </w:t>
      </w:r>
      <w:r>
        <w:t xml:space="preserve">This electronic Invoice has been generated and transmitted in accordance with the DIAN (Dirección de Impuestos y Aduanas Nacionales) electronic invoicing regulations applicable in Colombia. The document carries a valid CUC (Código Único de Comprobantes) and is legally valid for tax deduction purposes in Medellín and throughout the Republic of Colombia.</w:t>
      </w:r>
    </w:p>
    <w:p>
      <w:pPr>
        <w:pStyle w:val="BodyText"/>
      </w:pPr>
      <w:r>
        <w:rPr>
          <w:bCs/>
          <w:b/>
        </w:rPr>
        <w:t xml:space="preserve">5. Confidentiality:</w:t>
      </w:r>
      <w:r>
        <w:t xml:space="preserve"> </w:t>
      </w:r>
      <w:r>
        <w:t xml:space="preserve">All findings, data, and documentation reviewed by the Auditor during this engagement are subject to strict confidentiality. No portion of the audit workpapers or the final report may be disclosed to third parties without prior written consent from both parties.</w:t>
      </w:r>
    </w:p>
    <w:p>
      <w:pPr>
        <w:pStyle w:val="BodyText"/>
      </w:pPr>
      <w:r>
        <w:rPr>
          <w:bCs/>
          <w:b/>
        </w:rPr>
        <w:t xml:space="preserve">6. Dispute Resolution:</w:t>
      </w:r>
      <w:r>
        <w:t xml:space="preserve"> </w:t>
      </w:r>
      <w:r>
        <w:t xml:space="preserve">Any dispute arising from this Invoice or the underlying services shall be resolved through the commercial courts of Medellín, Antioquia, Colombia, in accordance with the applicable provisions of the Colombian Civil and Commercial Codes.</w:t>
      </w:r>
    </w:p>
    <w:p>
      <w:pPr>
        <w:pStyle w:val="BodyText"/>
      </w:pPr>
      <w:r>
        <w:rPr>
          <w:bCs/>
          <w:b/>
        </w:rPr>
        <w:t xml:space="preserve">7. Validity:</w:t>
      </w:r>
      <w:r>
        <w:t xml:space="preserve"> </w:t>
      </w:r>
      <w:r>
        <w:t xml:space="preserve">This Invoice is valid for a period of 30 days from the date of issue. After this period, the amounts stated herein may be subject to adjustment based on prevailing exchange rates or regulatory changes in Colombia.</w:t>
      </w:r>
    </w:p>
    <w:bookmarkEnd w:id="24"/>
    <w:p>
      <w:pPr>
        <w:pStyle w:val="BodyText"/>
      </w:pPr>
      <w:r>
        <w:t xml:space="preserve">Andina Audit &amp; Compliance Group S.A.S. | Certified Auditor Firm | Medellín, Colombia</w:t>
      </w:r>
    </w:p>
    <w:p>
      <w:pPr>
        <w:pStyle w:val="BodyText"/>
      </w:pPr>
      <w:r>
        <w:t xml:space="preserve">Registered with the CTCP under Firm No. 4521 | DIAN Electronic Invoice Provider Code: 901234567-8</w:t>
      </w:r>
    </w:p>
    <w:p>
      <w:pPr>
        <w:pStyle w:val="BodyText"/>
      </w:pPr>
      <w:r>
        <w:t xml:space="preserve">This Invoice was generated electronically and is valid without a physical signature per DIAN Resolution 000110 of 2019.</w:t>
      </w:r>
    </w:p>
    <w:p>
      <w:pPr>
        <w:pStyle w:val="BodyText"/>
      </w:pPr>
      <w:r>
        <w:t xml:space="preserve">Thank you for choosing our Auditor services in Colombia Medellín.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Colombia Medellín</dc:title>
  <dc:creator/>
  <dc:language>en</dc:language>
  <cp:keywords/>
  <dcterms:created xsi:type="dcterms:W3CDTF">2026-10-10T09:17:17Z</dcterms:created>
  <dcterms:modified xsi:type="dcterms:W3CDTF">2026-10-10T09:17:17Z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