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e-delta-audit-assurance-group"/>
    <w:p>
      <w:pPr>
        <w:pStyle w:val="Heading1"/>
      </w:pPr>
      <w:r>
        <w:t xml:space="preserve">Nile Delta Audit &amp; Assurance Group</w:t>
      </w:r>
    </w:p>
    <w:p>
      <w:pPr>
        <w:pStyle w:val="FirstParagraph"/>
      </w:pPr>
      <w:r>
        <w:t xml:space="preserve">12 Tahrir Square, Downtown District</w:t>
      </w:r>
    </w:p>
    <w:p>
      <w:pPr>
        <w:pStyle w:val="BodyText"/>
      </w:pPr>
      <w:r>
        <w:t xml:space="preserve">Cairo, Egypt 11511</w:t>
      </w:r>
    </w:p>
    <w:p>
      <w:pPr>
        <w:pStyle w:val="BodyText"/>
      </w:pPr>
      <w:r>
        <w:t xml:space="preserve">Tel: +20 2 2578 4433 | Email: billing@niledeltaaudit.com.eg</w:t>
      </w:r>
    </w:p>
    <w:p>
      <w:pPr>
        <w:pStyle w:val="BodyText"/>
      </w:pPr>
      <w:r>
        <w:t xml:space="preserve">Tax Registration No. (TRN): 512-987-654-321</w:t>
      </w:r>
    </w:p>
    <w:p>
      <w:pPr>
        <w:pStyle w:val="BodyText"/>
      </w:pPr>
      <w:r>
        <w:t xml:space="preserve">Commercial Registration: 104-552-789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NDA-2025-00487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Jan 2025 – 31 May 2025</w:t>
      </w:r>
    </w:p>
    <w:p>
      <w:pPr>
        <w:pStyle w:val="BodyText"/>
      </w:pPr>
      <w:r>
        <w:rPr>
          <w:bCs/>
          <w:b/>
        </w:rPr>
        <w:t xml:space="preserve">Project Ref:</w:t>
      </w:r>
      <w:r>
        <w:t xml:space="preserve"> </w:t>
      </w:r>
      <w:r>
        <w:t xml:space="preserve">AUD-CAI-2025-Q1Q2</w:t>
      </w:r>
    </w:p>
    <w:p>
      <w:pPr>
        <w:pStyle w:val="BodyText"/>
      </w:pPr>
      <w:r>
        <w:t xml:space="preserve">PENDING PAYMENT</w:t>
      </w:r>
    </w:p>
    <w:bookmarkEnd w:id="21"/>
    <w:bookmarkStart w:id="22" w:name="billed-by-auditor"/>
    <w:p>
      <w:pPr>
        <w:pStyle w:val="Heading3"/>
      </w:pPr>
      <w:r>
        <w:t xml:space="preserve">Billed By (Auditor)</w:t>
      </w:r>
    </w:p>
    <w:p>
      <w:pPr>
        <w:pStyle w:val="FirstParagraph"/>
      </w:pPr>
      <w:r>
        <w:rPr>
          <w:bCs/>
          <w:b/>
        </w:rPr>
        <w:t xml:space="preserve">Nile Delta Audit &amp; Assurance Group</w:t>
      </w:r>
    </w:p>
    <w:p>
      <w:pPr>
        <w:pStyle w:val="BodyText"/>
      </w:pPr>
      <w:r>
        <w:t xml:space="preserve">12 Tahrir Square, Downtown District</w:t>
      </w:r>
    </w:p>
    <w:p>
      <w:pPr>
        <w:pStyle w:val="BodyText"/>
      </w:pPr>
      <w:r>
        <w:t xml:space="preserve">Cairo, Egypt 11511</w:t>
      </w:r>
    </w:p>
    <w:p>
      <w:pPr>
        <w:pStyle w:val="BodyText"/>
      </w:pPr>
      <w:r>
        <w:t xml:space="preserve">Lead Auditor: Dr. Ahmed Hassan El-Sayed, CPA (Egypt)</w:t>
      </w:r>
    </w:p>
    <w:p>
      <w:pPr>
        <w:pStyle w:val="BodyText"/>
      </w:pPr>
      <w:r>
        <w:t xml:space="preserve">Licensed by the Egyptian Financial Regulatory Authority (FRA)</w:t>
      </w:r>
    </w:p>
    <w:bookmarkEnd w:id="22"/>
    <w:bookmarkStart w:id="23" w:name="billed-to-client"/>
    <w:p>
      <w:pPr>
        <w:pStyle w:val="Heading3"/>
      </w:pPr>
      <w:r>
        <w:t xml:space="preserve">Billed To (Client)</w:t>
      </w:r>
    </w:p>
    <w:p>
      <w:pPr>
        <w:pStyle w:val="FirstParagraph"/>
      </w:pPr>
      <w:r>
        <w:rPr>
          <w:bCs/>
          <w:b/>
        </w:rPr>
        <w:t xml:space="preserve">Al-Nile Manufacturing &amp; Trading Co.</w:t>
      </w:r>
    </w:p>
    <w:p>
      <w:pPr>
        <w:pStyle w:val="BodyText"/>
      </w:pPr>
      <w:r>
        <w:t xml:space="preserve">45 26th of July Road, Nasr City</w:t>
      </w:r>
    </w:p>
    <w:p>
      <w:pPr>
        <w:pStyle w:val="BodyText"/>
      </w:pPr>
      <w:r>
        <w:t xml:space="preserve">Cairo, Egypt 11341</w:t>
      </w:r>
    </w:p>
    <w:p>
      <w:pPr>
        <w:pStyle w:val="BodyText"/>
      </w:pPr>
      <w:r>
        <w:t xml:space="preserve">Attn: Mr. Khaled Mostafa, CFO</w:t>
      </w:r>
    </w:p>
    <w:p>
      <w:pPr>
        <w:pStyle w:val="BodyText"/>
      </w:pPr>
      <w:r>
        <w:t xml:space="preserve">Tel: +20 2 2415 6677</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Rate (EGP)</w:t>
            </w:r>
          </w:p>
        </w:tc>
        <w:tc>
          <w:tcPr/>
          <w:p>
            <w:pPr>
              <w:pStyle w:val="Compact"/>
              <w:jc w:val="left"/>
            </w:pPr>
            <w:r>
              <w:t xml:space="preserve">Hours</w:t>
            </w:r>
          </w:p>
        </w:tc>
        <w:tc>
          <w:tcPr/>
          <w:p>
            <w:pPr>
              <w:pStyle w:val="Compact"/>
              <w:jc w:val="left"/>
            </w:pPr>
            <w:r>
              <w:t xml:space="preserve">Amount (EGP)</w:t>
            </w:r>
          </w:p>
        </w:tc>
        <w:tc>
          <w:tcPr/>
          <w:p>
            <w:pPr>
              <w:pStyle w:val="Compact"/>
              <w:jc w:val="left"/>
            </w:pPr>
            <w:r>
              <w:t xml:space="preserve">VAT 14%</w:t>
            </w:r>
          </w:p>
        </w:tc>
      </w:tr>
      <w:tr>
        <w:tc>
          <w:tcPr/>
          <w:p>
            <w:pPr>
              <w:pStyle w:val="Compact"/>
              <w:jc w:val="left"/>
            </w:pPr>
            <w:r>
              <w:t xml:space="preserve">1</w:t>
            </w:r>
          </w:p>
        </w:tc>
        <w:tc>
          <w:tcPr/>
          <w:p>
            <w:pPr>
              <w:pStyle w:val="Compact"/>
              <w:jc w:val="left"/>
            </w:pPr>
            <w:r>
              <w:rPr>
                <w:bCs/>
                <w:b/>
              </w:rPr>
              <w:t xml:space="preserve">Statutory Financial Audit – Q1 &amp; Q2 2025</w:t>
            </w:r>
            <w:r>
              <w:br/>
            </w:r>
            <w:r>
              <w:t xml:space="preserve">Comprehensive audit of financial statements prepared in accordance with IFRS and Egyptian Accounting Standards (EAS). Conducted at the client's premises in Cairo, Egypt, including verification of cash balances, receivables, inventory, and fixed assets.</w:t>
            </w:r>
          </w:p>
        </w:tc>
        <w:tc>
          <w:tcPr/>
          <w:p>
            <w:pPr>
              <w:pStyle w:val="Compact"/>
              <w:jc w:val="left"/>
            </w:pPr>
            <w:r>
              <w:t xml:space="preserve">1,850</w:t>
            </w:r>
          </w:p>
        </w:tc>
        <w:tc>
          <w:tcPr/>
          <w:p>
            <w:pPr>
              <w:pStyle w:val="Compact"/>
              <w:jc w:val="left"/>
            </w:pPr>
            <w:r>
              <w:t xml:space="preserve">120</w:t>
            </w:r>
          </w:p>
        </w:tc>
        <w:tc>
          <w:tcPr/>
          <w:p>
            <w:pPr>
              <w:pStyle w:val="Compact"/>
              <w:jc w:val="left"/>
            </w:pPr>
            <w:r>
              <w:t xml:space="preserve">222,000.00</w:t>
            </w:r>
          </w:p>
        </w:tc>
        <w:tc>
          <w:tcPr/>
          <w:p>
            <w:pPr>
              <w:pStyle w:val="Compact"/>
              <w:jc w:val="left"/>
            </w:pPr>
            <w:r>
              <w:t xml:space="preserve">31,080.00</w:t>
            </w:r>
          </w:p>
        </w:tc>
      </w:tr>
      <w:tr>
        <w:tc>
          <w:tcPr/>
          <w:p>
            <w:pPr>
              <w:pStyle w:val="Compact"/>
              <w:jc w:val="left"/>
            </w:pPr>
            <w:r>
              <w:t xml:space="preserve">2</w:t>
            </w:r>
          </w:p>
        </w:tc>
        <w:tc>
          <w:tcPr/>
          <w:p>
            <w:pPr>
              <w:pStyle w:val="Compact"/>
              <w:jc w:val="left"/>
            </w:pPr>
            <w:r>
              <w:rPr>
                <w:bCs/>
                <w:b/>
              </w:rPr>
              <w:t xml:space="preserve">Internal Controls Assessment &amp; Compliance Review</w:t>
            </w:r>
            <w:r>
              <w:br/>
            </w:r>
            <w:r>
              <w:t xml:space="preserve">Evaluation of the internal control environment, risk management framework, and compliance with Egyptian Commercial Law (Law No. 181 of 1981) and Central Bank of Egypt (CBE) regulations. Includes preparation of a detailed findings report with remediation recommendations.</w:t>
            </w:r>
          </w:p>
        </w:tc>
        <w:tc>
          <w:tcPr/>
          <w:p>
            <w:pPr>
              <w:pStyle w:val="Compact"/>
              <w:jc w:val="left"/>
            </w:pPr>
            <w:r>
              <w:t xml:space="preserve">1,600</w:t>
            </w:r>
          </w:p>
        </w:tc>
        <w:tc>
          <w:tcPr/>
          <w:p>
            <w:pPr>
              <w:pStyle w:val="Compact"/>
              <w:jc w:val="left"/>
            </w:pPr>
            <w:r>
              <w:t xml:space="preserve">80</w:t>
            </w:r>
          </w:p>
        </w:tc>
        <w:tc>
          <w:tcPr/>
          <w:p>
            <w:pPr>
              <w:pStyle w:val="Compact"/>
              <w:jc w:val="left"/>
            </w:pPr>
            <w:r>
              <w:t xml:space="preserve">128,000.00</w:t>
            </w:r>
          </w:p>
        </w:tc>
        <w:tc>
          <w:tcPr/>
          <w:p>
            <w:pPr>
              <w:pStyle w:val="Compact"/>
              <w:jc w:val="left"/>
            </w:pPr>
            <w:r>
              <w:t xml:space="preserve">17,920.00</w:t>
            </w:r>
          </w:p>
        </w:tc>
      </w:tr>
      <w:tr>
        <w:tc>
          <w:tcPr/>
          <w:p>
            <w:pPr>
              <w:pStyle w:val="Compact"/>
              <w:jc w:val="left"/>
            </w:pPr>
            <w:r>
              <w:t xml:space="preserve">3</w:t>
            </w:r>
          </w:p>
        </w:tc>
        <w:tc>
          <w:tcPr/>
          <w:p>
            <w:pPr>
              <w:pStyle w:val="Compact"/>
              <w:jc w:val="left"/>
            </w:pPr>
            <w:r>
              <w:rPr>
                <w:bCs/>
                <w:b/>
              </w:rPr>
              <w:t xml:space="preserve">Tax Audit &amp; VAT Reconciliation</w:t>
            </w:r>
            <w:r>
              <w:br/>
            </w:r>
            <w:r>
              <w:t xml:space="preserve">Review of corporate income tax filings, Value Added Tax (VAT) returns, and withholding tax compliance for the period January through May 2025. Coordination with the Egyptian Tax Authority (ETA) in Cairo to resolve outstanding queries and ensure full regulatory compliance.</w:t>
            </w:r>
          </w:p>
        </w:tc>
        <w:tc>
          <w:tcPr/>
          <w:p>
            <w:pPr>
              <w:pStyle w:val="Compact"/>
              <w:jc w:val="left"/>
            </w:pPr>
            <w:r>
              <w:t xml:space="preserve">1,450</w:t>
            </w:r>
          </w:p>
        </w:tc>
        <w:tc>
          <w:tcPr/>
          <w:p>
            <w:pPr>
              <w:pStyle w:val="Compact"/>
              <w:jc w:val="left"/>
            </w:pPr>
            <w:r>
              <w:t xml:space="preserve">60</w:t>
            </w:r>
          </w:p>
        </w:tc>
        <w:tc>
          <w:tcPr/>
          <w:p>
            <w:pPr>
              <w:pStyle w:val="Compact"/>
              <w:jc w:val="left"/>
            </w:pPr>
            <w:r>
              <w:t xml:space="preserve">87,000.00</w:t>
            </w:r>
          </w:p>
        </w:tc>
        <w:tc>
          <w:tcPr/>
          <w:p>
            <w:pPr>
              <w:pStyle w:val="Compact"/>
              <w:jc w:val="left"/>
            </w:pPr>
            <w:r>
              <w:t xml:space="preserve">12,180.00</w:t>
            </w:r>
          </w:p>
        </w:tc>
      </w:tr>
      <w:tr>
        <w:tc>
          <w:tcPr/>
          <w:p>
            <w:pPr>
              <w:pStyle w:val="Compact"/>
              <w:jc w:val="left"/>
            </w:pPr>
            <w:r>
              <w:t xml:space="preserve">4</w:t>
            </w:r>
          </w:p>
        </w:tc>
        <w:tc>
          <w:tcPr/>
          <w:p>
            <w:pPr>
              <w:pStyle w:val="Compact"/>
              <w:jc w:val="left"/>
            </w:pPr>
            <w:r>
              <w:rPr>
                <w:bCs/>
                <w:b/>
              </w:rPr>
              <w:t xml:space="preserve">Forensic Audit – Suspicious Transactions Investigation</w:t>
            </w:r>
            <w:r>
              <w:br/>
            </w:r>
            <w:r>
              <w:t xml:space="preserve">Targeted forensic examination of 34 flagged transactions identified during the routine audit. Includes digital forensics, bank statement tracing, and interviews with relevant personnel at the Cairo headquarters. Final forensic report submitted to the Board of Directors.</w:t>
            </w:r>
          </w:p>
        </w:tc>
        <w:tc>
          <w:tcPr/>
          <w:p>
            <w:pPr>
              <w:pStyle w:val="Compact"/>
              <w:jc w:val="left"/>
            </w:pPr>
            <w:r>
              <w:t xml:space="preserve">2,200</w:t>
            </w:r>
          </w:p>
        </w:tc>
        <w:tc>
          <w:tcPr/>
          <w:p>
            <w:pPr>
              <w:pStyle w:val="Compact"/>
              <w:jc w:val="left"/>
            </w:pPr>
            <w:r>
              <w:t xml:space="preserve">45</w:t>
            </w:r>
          </w:p>
        </w:tc>
        <w:tc>
          <w:tcPr/>
          <w:p>
            <w:pPr>
              <w:pStyle w:val="Compact"/>
              <w:jc w:val="left"/>
            </w:pPr>
            <w:r>
              <w:t xml:space="preserve">99,000.00</w:t>
            </w:r>
          </w:p>
        </w:tc>
        <w:tc>
          <w:tcPr/>
          <w:p>
            <w:pPr>
              <w:pStyle w:val="Compact"/>
              <w:jc w:val="left"/>
            </w:pPr>
            <w:r>
              <w:t xml:space="preserve">13,860.00</w:t>
            </w:r>
          </w:p>
        </w:tc>
      </w:tr>
      <w:tr>
        <w:tc>
          <w:tcPr/>
          <w:p>
            <w:pPr>
              <w:pStyle w:val="Compact"/>
              <w:jc w:val="left"/>
            </w:pPr>
            <w:r>
              <w:t xml:space="preserve">5</w:t>
            </w:r>
          </w:p>
        </w:tc>
        <w:tc>
          <w:tcPr/>
          <w:p>
            <w:pPr>
              <w:pStyle w:val="Compact"/>
              <w:jc w:val="left"/>
            </w:pPr>
            <w:r>
              <w:rPr>
                <w:bCs/>
                <w:b/>
              </w:rPr>
              <w:t xml:space="preserve">Management Consultation &amp; Board Reporting</w:t>
            </w:r>
            <w:r>
              <w:br/>
            </w:r>
            <w:r>
              <w:t xml:space="preserve">Two on-site consultation sessions in Cairo, Egypt, with the CFO and Board of Directors to present audit findings, discuss material weaknesses, and recommend strategic improvements to the financial reporting process. Includes preparation of a 45-page executive summary report.</w:t>
            </w:r>
          </w:p>
        </w:tc>
        <w:tc>
          <w:tcPr/>
          <w:p>
            <w:pPr>
              <w:pStyle w:val="Compact"/>
              <w:jc w:val="left"/>
            </w:pPr>
            <w:r>
              <w:t xml:space="preserve">2,500</w:t>
            </w:r>
          </w:p>
        </w:tc>
        <w:tc>
          <w:tcPr/>
          <w:p>
            <w:pPr>
              <w:pStyle w:val="Compact"/>
              <w:jc w:val="left"/>
            </w:pPr>
            <w:r>
              <w:t xml:space="preserve">16</w:t>
            </w:r>
          </w:p>
        </w:tc>
        <w:tc>
          <w:tcPr/>
          <w:p>
            <w:pPr>
              <w:pStyle w:val="Compact"/>
              <w:jc w:val="left"/>
            </w:pPr>
            <w:r>
              <w:t xml:space="preserve">40,000.00</w:t>
            </w:r>
          </w:p>
        </w:tc>
        <w:tc>
          <w:tcPr/>
          <w:p>
            <w:pPr>
              <w:pStyle w:val="Compact"/>
              <w:jc w:val="left"/>
            </w:pPr>
            <w:r>
              <w:t xml:space="preserve">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(EGP)</w:t>
            </w:r>
          </w:p>
        </w:tc>
        <w:tc>
          <w:tcPr/>
          <w:p>
            <w:pPr>
              <w:pStyle w:val="Compact"/>
              <w:jc w:val="left"/>
            </w:pPr>
            <w:r>
              <w:rPr>
                <w:bCs/>
                <w:b/>
              </w:rPr>
              <w:t xml:space="preserve">576,000.00</w:t>
            </w:r>
          </w:p>
        </w:tc>
      </w:tr>
      <w:tr>
        <w:tc>
          <w:tcPr/>
          <w:p>
            <w:pPr>
              <w:pStyle w:val="Compact"/>
              <w:jc w:val="left"/>
            </w:pPr>
            <w:r>
              <w:t xml:space="preserve">VAT @ 14% (EGP)</w:t>
            </w:r>
          </w:p>
        </w:tc>
        <w:tc>
          <w:tcPr/>
          <w:p>
            <w:pPr>
              <w:pStyle w:val="Compact"/>
              <w:jc w:val="left"/>
            </w:pPr>
            <w:r>
              <w:rPr>
                <w:bCs/>
                <w:b/>
              </w:rPr>
              <w:t xml:space="preserve">80,640.00</w:t>
            </w:r>
          </w:p>
        </w:tc>
      </w:tr>
      <w:tr>
        <w:tc>
          <w:tcPr/>
          <w:p>
            <w:pPr>
              <w:pStyle w:val="Compact"/>
              <w:jc w:val="left"/>
            </w:pPr>
            <w:r>
              <w:t xml:space="preserve">Discount – Early Payment (5%)</w:t>
            </w:r>
          </w:p>
        </w:tc>
        <w:tc>
          <w:tcPr/>
          <w:p>
            <w:pPr>
              <w:pStyle w:val="Compact"/>
              <w:jc w:val="left"/>
            </w:pPr>
            <w:r>
              <w:t xml:space="preserve">(28,800.00)</w:t>
            </w:r>
          </w:p>
        </w:tc>
      </w:tr>
      <w:tr>
        <w:tc>
          <w:tcPr/>
          <w:p>
            <w:pPr>
              <w:pStyle w:val="Compact"/>
              <w:jc w:val="left"/>
            </w:pPr>
            <w:r>
              <w:t xml:space="preserve">GRAND TOTAL (EGP)</w:t>
            </w:r>
          </w:p>
        </w:tc>
        <w:tc>
          <w:tcPr/>
          <w:p>
            <w:pPr>
              <w:pStyle w:val="Compact"/>
              <w:jc w:val="left"/>
            </w:pPr>
            <w:r>
              <w:t xml:space="preserve">627,840.00</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National Bank of Egypt (NBE)</w:t>
      </w:r>
    </w:p>
    <w:p>
      <w:pPr>
        <w:pStyle w:val="BodyText"/>
      </w:pPr>
      <w:r>
        <w:rPr>
          <w:bCs/>
          <w:b/>
        </w:rPr>
        <w:t xml:space="preserve">Branch:</w:t>
      </w:r>
      <w:r>
        <w:t xml:space="preserve"> </w:t>
      </w:r>
      <w:r>
        <w:t xml:space="preserve">Tahrir Square, Cairo</w:t>
      </w:r>
    </w:p>
    <w:p>
      <w:pPr>
        <w:pStyle w:val="BodyText"/>
      </w:pPr>
      <w:r>
        <w:rPr>
          <w:bCs/>
          <w:b/>
        </w:rPr>
        <w:t xml:space="preserve">Account Name:</w:t>
      </w:r>
      <w:r>
        <w:t xml:space="preserve"> </w:t>
      </w:r>
      <w:r>
        <w:t xml:space="preserve">Nile Delta Audit &amp; Assurance Group</w:t>
      </w:r>
    </w:p>
    <w:p>
      <w:pPr>
        <w:pStyle w:val="BodyText"/>
      </w:pPr>
      <w:r>
        <w:rPr>
          <w:bCs/>
          <w:b/>
        </w:rPr>
        <w:t xml:space="preserve">IBAN:</w:t>
      </w:r>
      <w:r>
        <w:t xml:space="preserve"> </w:t>
      </w:r>
      <w:r>
        <w:t xml:space="preserve">EG38000200015678901234567890</w:t>
      </w:r>
    </w:p>
    <w:p>
      <w:pPr>
        <w:pStyle w:val="BodyText"/>
      </w:pPr>
      <w:r>
        <w:rPr>
          <w:bCs/>
          <w:b/>
        </w:rPr>
        <w:t xml:space="preserve">SWIFT/BIC:</w:t>
      </w:r>
      <w:r>
        <w:t xml:space="preserve"> </w:t>
      </w:r>
      <w:r>
        <w:t xml:space="preserve">NBELEGCA</w:t>
      </w:r>
    </w:p>
    <w:p>
      <w:pPr>
        <w:pStyle w:val="BodyText"/>
      </w:pPr>
      <w:r>
        <w:rPr>
          <w:bCs/>
          <w:b/>
        </w:rPr>
        <w:t xml:space="preserve">Reference:</w:t>
      </w:r>
      <w:r>
        <w:t xml:space="preserve"> </w:t>
      </w:r>
      <w:r>
        <w:t xml:space="preserve">NDA-2025-00487</w:t>
      </w:r>
    </w:p>
    <w:bookmarkEnd w:id="24"/>
    <w:bookmarkStart w:id="25" w:name="payment-terms"/>
    <w:p>
      <w:pPr>
        <w:pStyle w:val="Heading3"/>
      </w:pPr>
      <w:r>
        <w:t xml:space="preserve">Payment Terms</w:t>
      </w:r>
    </w:p>
    <w:p>
      <w:pPr>
        <w:pStyle w:val="FirstParagraph"/>
      </w:pPr>
      <w:r>
        <w:t xml:space="preserve">Payment is due within</w:t>
      </w:r>
      <w:r>
        <w:t xml:space="preserve"> </w:t>
      </w:r>
      <w:r>
        <w:rPr>
          <w:bCs/>
          <w:b/>
        </w:rPr>
        <w:t xml:space="preserve">30 days</w:t>
      </w:r>
      <w:r>
        <w:t xml:space="preserve"> </w:t>
      </w:r>
      <w:r>
        <w:t xml:space="preserve">from the invoice date (15 July 2025).</w:t>
      </w:r>
    </w:p>
    <w:p>
      <w:pPr>
        <w:pStyle w:val="BodyText"/>
      </w:pPr>
      <w:r>
        <w:t xml:space="preserve">Accepted methods: Bank transfer (T/T), cheque payable to Nile Delta Audit &amp; Assurance Group.</w:t>
      </w:r>
    </w:p>
    <w:p>
      <w:pPr>
        <w:pStyle w:val="BodyText"/>
      </w:pPr>
      <w:r>
        <w:t xml:space="preserve">A late payment penalty of 2% per month will apply to overdue balances as per Egyptian Commercial Law.</w:t>
      </w:r>
    </w:p>
    <w:p>
      <w:pPr>
        <w:pStyle w:val="BodyText"/>
      </w:pPr>
      <w:r>
        <w:t xml:space="preserve">Please reference Invoice No. NDA-2025-00487 in all correspondence.</w:t>
      </w:r>
    </w:p>
    <w:bookmarkEnd w:id="25"/>
    <w:bookmarkStart w:id="26" w:name="important-notes-terms"/>
    <w:p>
      <w:pPr>
        <w:pStyle w:val="Heading3"/>
      </w:pPr>
      <w:r>
        <w:t xml:space="preserve">Important Notes &amp; Terms</w:t>
      </w:r>
    </w:p>
    <w:p>
      <w:pPr>
        <w:numPr>
          <w:ilvl w:val="0"/>
          <w:numId w:val="1001"/>
        </w:numPr>
        <w:pStyle w:val="Compact"/>
      </w:pPr>
      <w:r>
        <w:t xml:space="preserve">This Invoice is issued in accordance with the Egyptian Tax Authority (ETA) e-invoicing regulations and the Egyptian Financial Regulatory Authority (FRA) licensing requirements for audit and assurance services.</w:t>
      </w:r>
    </w:p>
    <w:p>
      <w:pPr>
        <w:numPr>
          <w:ilvl w:val="0"/>
          <w:numId w:val="1001"/>
        </w:numPr>
        <w:pStyle w:val="Compact"/>
      </w:pPr>
      <w:r>
        <w:t xml:space="preserve">All auditor services described in this Invoice were performed by licensed professionals registered with the Egyptian Institute of Chartered Accountants (EICA) and the Financial Regulatory Authority of Egypt.</w:t>
      </w:r>
    </w:p>
    <w:p>
      <w:pPr>
        <w:numPr>
          <w:ilvl w:val="0"/>
          <w:numId w:val="1001"/>
        </w:numPr>
        <w:pStyle w:val="Compact"/>
      </w:pPr>
      <w:r>
        <w:t xml:space="preserve">The audit opinion and all related reports referenced in this Invoice are confidential and intended solely for the use of Al-Nile Manufacturing &amp; Trading Co. and its Board of Directors in Cairo, Egypt.</w:t>
      </w:r>
    </w:p>
    <w:p>
      <w:pPr>
        <w:numPr>
          <w:ilvl w:val="0"/>
          <w:numId w:val="1001"/>
        </w:numPr>
        <w:pStyle w:val="Compact"/>
      </w:pPr>
      <w:r>
        <w:t xml:space="preserve">Any disputes arising from this Invoice shall be governed by the laws of the Arab Republic of Egypt and shall be subject to the jurisdiction of the competent courts in Cairo.</w:t>
      </w:r>
    </w:p>
    <w:p>
      <w:pPr>
        <w:numPr>
          <w:ilvl w:val="0"/>
          <w:numId w:val="1001"/>
        </w:numPr>
        <w:pStyle w:val="Compact"/>
      </w:pPr>
      <w:r>
        <w:t xml:space="preserve">This Invoice is valid for 90 days from the date of issue. After this period, a revised Invoice may be required to reflect any changes in applicable tax rates or regulatory requirements in Egypt.</w:t>
      </w:r>
    </w:p>
    <w:p>
      <w:pPr>
        <w:numPr>
          <w:ilvl w:val="0"/>
          <w:numId w:val="1001"/>
        </w:numPr>
        <w:pStyle w:val="Compact"/>
      </w:pPr>
      <w:r>
        <w:t xml:space="preserve">The Lead Auditor, Dr. Ahmed Hassan El-Sayed, confirms that all procedures were conducted in strict compliance with International Standards on Auditing (ISA) as adopted by the Egyptian Financial Regulatory Authority.</w:t>
      </w:r>
    </w:p>
    <w:p>
      <w:pPr>
        <w:numPr>
          <w:ilvl w:val="0"/>
          <w:numId w:val="1001"/>
        </w:numPr>
        <w:pStyle w:val="Compact"/>
      </w:pPr>
      <w:r>
        <w:t xml:space="preserve">For any queries regarding this Invoice, please contact our billing department in Cairo at billing@niledeltaaudit.com.eg or +20 2 2578 4433, Monday through Friday, 9:00 AM to 5:00 PM (Egypt Standard Time, UTC+2).</w:t>
      </w:r>
    </w:p>
    <w:bookmarkEnd w:id="26"/>
    <w:p>
      <w:pPr>
        <w:pStyle w:val="FirstParagraph"/>
      </w:pPr>
      <w:r>
        <w:rPr>
          <w:bCs/>
          <w:b/>
        </w:rPr>
        <w:t xml:space="preserve">Nile Delta Audit &amp; Assurance Group</w:t>
      </w:r>
      <w:r>
        <w:t xml:space="preserve"> </w:t>
      </w:r>
      <w:r>
        <w:t xml:space="preserve">| 12 Tahrir Square, Downtown District, Cairo, Egypt 11511</w:t>
      </w:r>
    </w:p>
    <w:p>
      <w:pPr>
        <w:pStyle w:val="BodyText"/>
      </w:pPr>
      <w:r>
        <w:t xml:space="preserve">Tel: +20 2 2578 4433 | Email: billing@niledeltaaudit.com.eg | Web: www.niledeltaaudit.com.eg</w:t>
      </w:r>
    </w:p>
    <w:p>
      <w:pPr>
        <w:pStyle w:val="BodyText"/>
      </w:pPr>
      <w:r>
        <w:t xml:space="preserve">Registered with the Egyptian Financial Regulatory Authority (FRA) – License No. AUD-2019-00342</w:t>
      </w:r>
    </w:p>
    <w:p>
      <w:pPr>
        <w:pStyle w:val="BodyText"/>
      </w:pPr>
      <w:r>
        <w:t xml:space="preserve">This Invoice was generated electronically and is valid without a physical signature. Thank you for your business.</w:t>
      </w:r>
    </w:p>
    <w:p>
      <w:pPr>
        <w:pStyle w:val="BodyText"/>
      </w:pPr>
      <w:r>
        <w:t xml:space="preserve">© 2025 Nile Delta Audit &amp; Assurance Group. All rights reserved. Invoice NDA-2025-00487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Egypt Cairo</dc:title>
  <dc:creator/>
  <dc:language>en</dc:language>
  <cp:keywords/>
  <dcterms:created xsi:type="dcterms:W3CDTF">2026-10-10T02:29:54Z</dcterms:created>
  <dcterms:modified xsi:type="dcterms:W3CDTF">2026-10-10T02:29:54Z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