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audit-compliance-gmbh"/>
    <w:p>
      <w:pPr>
        <w:pStyle w:val="Heading1"/>
      </w:pPr>
      <w:r>
        <w:t xml:space="preserve">Frankfurt Audit &amp; Compliance GmbH</w:t>
      </w:r>
    </w:p>
    <w:p>
      <w:pPr>
        <w:pStyle w:val="FirstParagraph"/>
      </w:pPr>
      <w:r>
        <w:t xml:space="preserve">Neue Mainzer Straße 142</w:t>
      </w:r>
    </w:p>
    <w:p>
      <w:pPr>
        <w:pStyle w:val="BodyText"/>
      </w:pPr>
      <w:r>
        <w:t xml:space="preserve">60311 Frankfurt am Main, Germany</w:t>
      </w:r>
    </w:p>
    <w:p>
      <w:pPr>
        <w:pStyle w:val="BodyText"/>
      </w:pPr>
      <w:r>
        <w:t xml:space="preserve">Phone: +49 (0)69 4455 7820</w:t>
      </w:r>
    </w:p>
    <w:p>
      <w:pPr>
        <w:pStyle w:val="BodyText"/>
      </w:pPr>
      <w:r>
        <w:t xml:space="preserve">Email: billing@frankfurt-audit-compliance.de</w:t>
      </w:r>
    </w:p>
    <w:p>
      <w:pPr>
        <w:pStyle w:val="BodyText"/>
      </w:pPr>
      <w:r>
        <w:t xml:space="preserve">USt-IdNr.: DE 318 456 721</w:t>
      </w:r>
    </w:p>
    <w:p>
      <w:pPr>
        <w:pStyle w:val="BodyText"/>
      </w:pPr>
      <w:r>
        <w:t xml:space="preserve">HRB 98765,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FA-2025-00487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AUD-2025-Q2-FRA</w:t>
      </w:r>
    </w:p>
    <w:p>
      <w:pPr>
        <w:pStyle w:val="BodyText"/>
      </w:pPr>
      <w:r>
        <w:rPr>
          <w:bCs/>
          <w:b/>
        </w:rPr>
        <w:t xml:space="preserve">Service Period:</w:t>
      </w:r>
      <w:r>
        <w:t xml:space="preserve"> </w:t>
      </w:r>
      <w:r>
        <w:t xml:space="preserve">01 April 2025 – 30 May 2025</w:t>
      </w:r>
    </w:p>
    <w:bookmarkEnd w:id="21"/>
    <w:bookmarkStart w:id="22" w:name="billed-to-client"/>
    <w:p>
      <w:pPr>
        <w:pStyle w:val="Heading3"/>
      </w:pPr>
      <w:r>
        <w:t xml:space="preserve">Billed To (Client)</w:t>
      </w:r>
    </w:p>
    <w:p>
      <w:pPr>
        <w:pStyle w:val="FirstParagraph"/>
      </w:pPr>
      <w:r>
        <w:rPr>
          <w:bCs/>
          <w:b/>
        </w:rPr>
        <w:t xml:space="preserve">Rheinland Industrial Holdings AG</w:t>
      </w:r>
    </w:p>
    <w:p>
      <w:pPr>
        <w:pStyle w:val="BodyText"/>
      </w:pPr>
      <w:r>
        <w:t xml:space="preserve">Attn: Dr. Markus Weber, Chief Financial Officer</w:t>
      </w:r>
    </w:p>
    <w:p>
      <w:pPr>
        <w:pStyle w:val="BodyText"/>
      </w:pPr>
      <w:r>
        <w:t xml:space="preserve">Bockenheimer Landstraße 88</w:t>
      </w:r>
    </w:p>
    <w:p>
      <w:pPr>
        <w:pStyle w:val="BodyText"/>
      </w:pPr>
      <w:r>
        <w:t xml:space="preserve">60323 Frankfurt am Main, Germany</w:t>
      </w:r>
    </w:p>
    <w:p>
      <w:pPr>
        <w:pStyle w:val="BodyText"/>
      </w:pPr>
      <w:r>
        <w:t xml:space="preserve">VAT ID: DE 294 112 837</w:t>
      </w:r>
    </w:p>
    <w:p>
      <w:pPr>
        <w:pStyle w:val="BodyText"/>
      </w:pPr>
      <w:r>
        <w:t xml:space="preserve">IBAN: DE89 5001 0517 0400 0123 45</w:t>
      </w:r>
    </w:p>
    <w:bookmarkEnd w:id="22"/>
    <w:bookmarkStart w:id="23" w:name="prepared-by-auditor"/>
    <w:p>
      <w:pPr>
        <w:pStyle w:val="Heading3"/>
      </w:pPr>
      <w:r>
        <w:t xml:space="preserve">Prepared By (Auditor)</w:t>
      </w:r>
    </w:p>
    <w:p>
      <w:pPr>
        <w:pStyle w:val="FirstParagraph"/>
      </w:pPr>
      <w:r>
        <w:rPr>
          <w:bCs/>
          <w:b/>
        </w:rPr>
        <w:t xml:space="preserve">Frankfurt Audit &amp; Compliance GmbH</w:t>
      </w:r>
    </w:p>
    <w:p>
      <w:pPr>
        <w:pStyle w:val="BodyText"/>
      </w:pPr>
      <w:r>
        <w:t xml:space="preserve">Lead Auditor: Prof. Dr. Elena Hartmann, CPA, CFE</w:t>
      </w:r>
    </w:p>
    <w:p>
      <w:pPr>
        <w:pStyle w:val="BodyText"/>
      </w:pPr>
      <w:r>
        <w:t xml:space="preserve">Engagement Manager: Thomas Krüger, CA</w:t>
      </w:r>
    </w:p>
    <w:p>
      <w:pPr>
        <w:pStyle w:val="BodyText"/>
      </w:pPr>
      <w:r>
        <w:t xml:space="preserve">Office: Neue Mainzer Straße 142, 60311 Frankfurt</w:t>
      </w:r>
    </w:p>
    <w:p>
      <w:pPr>
        <w:pStyle w:val="BodyText"/>
      </w:pPr>
      <w:r>
        <w:t xml:space="preserve">Reg. No. WPK Hessen 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Statutory financial statement audit of Rheinland Industrial Holdings AG for fiscal year 2024, conducted in accordance with German Commercial Code (HGB) and International Standards on Auditing (ISA) as applicable in Germany. Includes review of balance sheet, profit and loss statement, and management report prepared at the Frankfurt headquarters.</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01 Apr – 20 Apr 2025</w:t>
            </w:r>
          </w:p>
        </w:tc>
      </w:tr>
      <w:tr>
        <w:tc>
          <w:tcPr/>
          <w:p>
            <w:pPr>
              <w:pStyle w:val="Compact"/>
              <w:jc w:val="left"/>
            </w:pPr>
            <w:r>
              <w:t xml:space="preserve">2</w:t>
            </w:r>
          </w:p>
        </w:tc>
        <w:tc>
          <w:tcPr/>
          <w:p>
            <w:pPr>
              <w:pStyle w:val="Compact"/>
              <w:jc w:val="left"/>
            </w:pPr>
            <w:r>
              <w:t xml:space="preserve">Internal control assessment and risk-based audit of operational processes at the Frankfurt am Main manufacturing facility. The auditor team performed walkthroughs, tested key controls over procurement, inventory management, and revenue recognition, and issued a preliminary findings memorandum to the client's audit committee.</w:t>
            </w:r>
          </w:p>
        </w:tc>
        <w:tc>
          <w:tcPr/>
          <w:p>
            <w:pPr>
              <w:pStyle w:val="Compact"/>
              <w:jc w:val="left"/>
            </w:pPr>
            <w:r>
              <w:t xml:space="preserve">165.00</w:t>
            </w:r>
          </w:p>
        </w:tc>
        <w:tc>
          <w:tcPr/>
          <w:p>
            <w:pPr>
              <w:pStyle w:val="Compact"/>
              <w:jc w:val="left"/>
            </w:pPr>
            <w:r>
              <w:t xml:space="preserve">85</w:t>
            </w:r>
          </w:p>
        </w:tc>
        <w:tc>
          <w:tcPr/>
          <w:p>
            <w:pPr>
              <w:pStyle w:val="Compact"/>
              <w:jc w:val="left"/>
            </w:pPr>
            <w:r>
              <w:t xml:space="preserve">14,025.00</w:t>
            </w:r>
          </w:p>
        </w:tc>
        <w:tc>
          <w:tcPr/>
          <w:p>
            <w:pPr>
              <w:pStyle w:val="Compact"/>
              <w:jc w:val="left"/>
            </w:pPr>
            <w:r>
              <w:t xml:space="preserve">21 Apr – 10 May 2025</w:t>
            </w:r>
          </w:p>
        </w:tc>
      </w:tr>
      <w:tr>
        <w:tc>
          <w:tcPr/>
          <w:p>
            <w:pPr>
              <w:pStyle w:val="Compact"/>
              <w:jc w:val="left"/>
            </w:pPr>
            <w:r>
              <w:t xml:space="preserve">3</w:t>
            </w:r>
          </w:p>
        </w:tc>
        <w:tc>
          <w:tcPr/>
          <w:p>
            <w:pPr>
              <w:pStyle w:val="Compact"/>
              <w:jc w:val="left"/>
            </w:pPr>
            <w:r>
              <w:t xml:space="preserve">Compliance audit for adherence to German Anti-Money Laundering Act (GwG) and EU Directive 2015/849. The auditor reviewed transaction monitoring systems, customer due diligence files, and suspicious activity reporting procedures maintained by the client's Frankfurt compliance department.</w:t>
            </w:r>
          </w:p>
        </w:tc>
        <w:tc>
          <w:tcPr/>
          <w:p>
            <w:pPr>
              <w:pStyle w:val="Compact"/>
              <w:jc w:val="left"/>
            </w:pPr>
            <w:r>
              <w:t xml:space="preserve">175.00</w:t>
            </w:r>
          </w:p>
        </w:tc>
        <w:tc>
          <w:tcPr/>
          <w:p>
            <w:pPr>
              <w:pStyle w:val="Compact"/>
              <w:jc w:val="left"/>
            </w:pPr>
            <w:r>
              <w:t xml:space="preserve">60</w:t>
            </w:r>
          </w:p>
        </w:tc>
        <w:tc>
          <w:tcPr/>
          <w:p>
            <w:pPr>
              <w:pStyle w:val="Compact"/>
              <w:jc w:val="left"/>
            </w:pPr>
            <w:r>
              <w:t xml:space="preserve">10,500.00</w:t>
            </w:r>
          </w:p>
        </w:tc>
        <w:tc>
          <w:tcPr/>
          <w:p>
            <w:pPr>
              <w:pStyle w:val="Compact"/>
              <w:jc w:val="left"/>
            </w:pPr>
            <w:r>
              <w:t xml:space="preserve">11 May – 25 May 2025</w:t>
            </w:r>
          </w:p>
        </w:tc>
      </w:tr>
      <w:tr>
        <w:tc>
          <w:tcPr/>
          <w:p>
            <w:pPr>
              <w:pStyle w:val="Compact"/>
              <w:jc w:val="left"/>
            </w:pPr>
            <w:r>
              <w:t xml:space="preserve">4</w:t>
            </w:r>
          </w:p>
        </w:tc>
        <w:tc>
          <w:tcPr/>
          <w:p>
            <w:pPr>
              <w:pStyle w:val="Compact"/>
              <w:jc w:val="left"/>
            </w:pPr>
            <w:r>
              <w:t xml:space="preserve">IT general controls audit and data integrity verification for the enterprise resource planning (ERP) system hosted at the client's data center in Frankfurt. The auditor assessed access controls, change management, and backup recovery procedures, and performed substantive testing of automated journal entries.</w:t>
            </w:r>
          </w:p>
        </w:tc>
        <w:tc>
          <w:tcPr/>
          <w:p>
            <w:pPr>
              <w:pStyle w:val="Compact"/>
              <w:jc w:val="left"/>
            </w:pPr>
            <w:r>
              <w:t xml:space="preserve">195.00</w:t>
            </w:r>
          </w:p>
        </w:tc>
        <w:tc>
          <w:tcPr/>
          <w:p>
            <w:pPr>
              <w:pStyle w:val="Compact"/>
              <w:jc w:val="left"/>
            </w:pPr>
            <w:r>
              <w:t xml:space="preserve">45</w:t>
            </w:r>
          </w:p>
        </w:tc>
        <w:tc>
          <w:tcPr/>
          <w:p>
            <w:pPr>
              <w:pStyle w:val="Compact"/>
              <w:jc w:val="left"/>
            </w:pPr>
            <w:r>
              <w:t xml:space="preserve">8,775.00</w:t>
            </w:r>
          </w:p>
        </w:tc>
        <w:tc>
          <w:tcPr/>
          <w:p>
            <w:pPr>
              <w:pStyle w:val="Compact"/>
              <w:jc w:val="left"/>
            </w:pPr>
            <w:r>
              <w:t xml:space="preserve">26 May – 30 May 2025</w:t>
            </w:r>
          </w:p>
        </w:tc>
      </w:tr>
      <w:tr>
        <w:tc>
          <w:tcPr/>
          <w:p>
            <w:pPr>
              <w:pStyle w:val="Compact"/>
              <w:jc w:val="left"/>
            </w:pPr>
            <w:r>
              <w:t xml:space="preserve">5</w:t>
            </w:r>
          </w:p>
        </w:tc>
        <w:tc>
          <w:tcPr/>
          <w:p>
            <w:pPr>
              <w:pStyle w:val="Compact"/>
              <w:jc w:val="left"/>
            </w:pPr>
            <w:r>
              <w:t xml:space="preserve">Preparation and issuance of the final audit report, management letter, and letter of representation. The auditor compiled all working papers, coordinated with the client's external legal counsel in Frankfurt, and delivered the signed audit opinion to the supervisory board (Aufsichtsrat) of Rheinland Industrial Holdings AG.</w:t>
            </w:r>
          </w:p>
        </w:tc>
        <w:tc>
          <w:tcPr/>
          <w:p>
            <w:pPr>
              <w:pStyle w:val="Compact"/>
              <w:jc w:val="left"/>
            </w:pPr>
            <w:r>
              <w:t xml:space="preserve">210.00</w:t>
            </w:r>
          </w:p>
        </w:tc>
        <w:tc>
          <w:tcPr/>
          <w:p>
            <w:pPr>
              <w:pStyle w:val="Compact"/>
              <w:jc w:val="left"/>
            </w:pPr>
            <w:r>
              <w:t xml:space="preserve">30</w:t>
            </w:r>
          </w:p>
        </w:tc>
        <w:tc>
          <w:tcPr/>
          <w:p>
            <w:pPr>
              <w:pStyle w:val="Compact"/>
              <w:jc w:val="left"/>
            </w:pPr>
            <w:r>
              <w:t xml:space="preserve">6,300.00</w:t>
            </w:r>
          </w:p>
        </w:tc>
        <w:tc>
          <w:tcPr/>
          <w:p>
            <w:pPr>
              <w:pStyle w:val="Compact"/>
              <w:jc w:val="left"/>
            </w:pPr>
            <w:r>
              <w:t xml:space="preserve">30 May 2025</w:t>
            </w:r>
          </w:p>
        </w:tc>
      </w:tr>
      <w:tr>
        <w:tc>
          <w:tcPr/>
          <w:p>
            <w:pPr>
              <w:pStyle w:val="Compact"/>
              <w:jc w:val="left"/>
            </w:pPr>
            <w:r>
              <w:t xml:space="preserve">6</w:t>
            </w:r>
          </w:p>
        </w:tc>
        <w:tc>
          <w:tcPr/>
          <w:p>
            <w:pPr>
              <w:pStyle w:val="Compact"/>
              <w:jc w:val="left"/>
            </w:pPr>
            <w:r>
              <w:t xml:space="preserve">Travel and accommodation expenses incurred by the auditor team during on-site engagements at the client's premises in Frankfurt am Main and the subsidiary office in Offenbach. Includes intercity rail travel, local transportation, and hotel accommodation in accordance with the agreed expense policy.</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c>
          <w:tcPr/>
          <w:p>
            <w:pPr>
              <w:pStyle w:val="Compact"/>
              <w:jc w:val="left"/>
            </w:pPr>
            <w:r>
              <w:t xml:space="preserve">Apr –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63,647.50 EUR</w:t>
            </w:r>
          </w:p>
        </w:tc>
      </w:tr>
      <w:tr>
        <w:tc>
          <w:tcPr/>
          <w:p>
            <w:pPr>
              <w:pStyle w:val="Compact"/>
              <w:jc w:val="left"/>
            </w:pPr>
            <w:r>
              <w:t xml:space="preserve">VAT (Mehrwertsteuer) 19%</w:t>
            </w:r>
          </w:p>
        </w:tc>
        <w:tc>
          <w:tcPr/>
          <w:p>
            <w:pPr>
              <w:pStyle w:val="Compact"/>
              <w:jc w:val="left"/>
            </w:pPr>
            <w:r>
              <w:t xml:space="preserve">12,093.03 EUR</w:t>
            </w:r>
          </w:p>
        </w:tc>
      </w:tr>
      <w:tr>
        <w:tc>
          <w:tcPr/>
          <w:p>
            <w:pPr>
              <w:pStyle w:val="Compact"/>
              <w:jc w:val="left"/>
            </w:pPr>
            <w:r>
              <w:t xml:space="preserve">Total Amount Due</w:t>
            </w:r>
          </w:p>
        </w:tc>
        <w:tc>
          <w:tcPr/>
          <w:p>
            <w:pPr>
              <w:pStyle w:val="Compact"/>
              <w:jc w:val="left"/>
            </w:pPr>
            <w:r>
              <w:t xml:space="preserve">75,740.53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Frankfurt am Main</w:t>
      </w:r>
    </w:p>
    <w:p>
      <w:pPr>
        <w:pStyle w:val="BodyText"/>
      </w:pPr>
      <w:r>
        <w:rPr>
          <w:bCs/>
          <w:b/>
        </w:rPr>
        <w:t xml:space="preserve">IBAN:</w:t>
      </w:r>
      <w:r>
        <w:t xml:space="preserve"> </w:t>
      </w:r>
      <w:r>
        <w:t xml:space="preserve">DE44 5001 0517 0648 4898 90</w:t>
      </w:r>
    </w:p>
    <w:p>
      <w:pPr>
        <w:pStyle w:val="BodyText"/>
      </w:pPr>
      <w:r>
        <w:rPr>
          <w:bCs/>
          <w:b/>
        </w:rPr>
        <w:t xml:space="preserve">BIC/SWIFT:</w:t>
      </w:r>
      <w:r>
        <w:t xml:space="preserve"> </w:t>
      </w:r>
      <w:r>
        <w:t xml:space="preserve">DEUTDEFF</w:t>
      </w:r>
    </w:p>
    <w:p>
      <w:pPr>
        <w:pStyle w:val="BodyText"/>
      </w:pPr>
      <w:r>
        <w:rPr>
          <w:bCs/>
          <w:b/>
        </w:rPr>
        <w:t xml:space="preserve">Account Holder:</w:t>
      </w:r>
      <w:r>
        <w:t xml:space="preserve"> </w:t>
      </w:r>
      <w:r>
        <w:t xml:space="preserve">Frankfurt Audit &amp; Compliance GmbH</w:t>
      </w:r>
    </w:p>
    <w:p>
      <w:pPr>
        <w:pStyle w:val="BodyText"/>
      </w:pPr>
      <w:r>
        <w:rPr>
          <w:bCs/>
          <w:b/>
        </w:rPr>
        <w:t xml:space="preserve">Reference (Verwendungszweck):</w:t>
      </w:r>
      <w:r>
        <w:t xml:space="preserve"> </w:t>
      </w:r>
      <w:r>
        <w:t xml:space="preserve">FA-2025-00487 / AUD-2025-Q2-FRA</w:t>
      </w:r>
    </w:p>
    <w:p>
      <w:pPr>
        <w:pStyle w:val="BodyText"/>
      </w:pPr>
      <w:r>
        <w:rPr>
          <w:bCs/>
          <w:b/>
        </w:rPr>
        <w:t xml:space="preserve">Payment Method:</w:t>
      </w:r>
      <w:r>
        <w:t xml:space="preserve"> </w:t>
      </w:r>
      <w:r>
        <w:t xml:space="preserve">SEPA Credit Transfer (Überweisung)</w:t>
      </w:r>
    </w:p>
    <w:p>
      <w:pPr>
        <w:pStyle w:val="BodyText"/>
      </w:pPr>
      <w:r>
        <w:rPr>
          <w:bCs/>
          <w:b/>
        </w:rPr>
        <w:t xml:space="preserve">Payment Terms:</w:t>
      </w:r>
      <w:r>
        <w:t xml:space="preserve"> </w:t>
      </w:r>
      <w:r>
        <w:t xml:space="preserve">Net 14 days from invoice date. Payment is due no later than 30 June 2025.</w:t>
      </w:r>
    </w:p>
    <w:bookmarkEnd w:id="24"/>
    <w:bookmarkStart w:id="25" w:name="notes-and-terms"/>
    <w:p>
      <w:pPr>
        <w:pStyle w:val="Heading3"/>
      </w:pPr>
      <w:r>
        <w:t xml:space="preserve">Notes and Terms</w:t>
      </w:r>
    </w:p>
    <w:p>
      <w:pPr>
        <w:numPr>
          <w:ilvl w:val="0"/>
          <w:numId w:val="1001"/>
        </w:numPr>
        <w:pStyle w:val="Compact"/>
      </w:pPr>
      <w:r>
        <w:t xml:space="preserve">This invoice is issued by Frankfurt Audit &amp; Compliance GmbH, a registered public audit firm (Wirtschaftsprüfungsgesellschaft) licensed by the Wirtschaftsprüferkammer (WPK) in Hessen, Germany. All audit services were performed by a qualified auditor in compliance with the German Audit Act (Wirtschaftsprüferordnung – WPO) and applicable professional standards.</w:t>
      </w:r>
    </w:p>
    <w:p>
      <w:pPr>
        <w:numPr>
          <w:ilvl w:val="0"/>
          <w:numId w:val="1001"/>
        </w:numPr>
        <w:pStyle w:val="Compact"/>
      </w:pPr>
      <w:r>
        <w:t xml:space="preserve">The audit engagement was conducted at the client's principal place of business in Frankfurt am Main, Germany. All findings, working papers, and the final audit report are subject to professional confidentiality obligations under Section 431 of the German Commercial Code (HGB) and the auditor's statutory duty of secrecy (Berufsgeheimnis).</w:t>
      </w:r>
    </w:p>
    <w:p>
      <w:pPr>
        <w:numPr>
          <w:ilvl w:val="0"/>
          <w:numId w:val="1001"/>
        </w:numPr>
        <w:pStyle w:val="Compact"/>
      </w:pPr>
      <w:r>
        <w:t xml:space="preserve">Payment is to be made via SEPA bank transfer to the account specified above. Please reference the invoice number FA-2025-00487 in all correspondence and remittances. Late payments are subject to statutory interest at the rate of 8 percentage points above the European Central Bank base rate for business-to-business transactions (Section 288 of the German Civil Code – BGB).</w:t>
      </w:r>
    </w:p>
    <w:p>
      <w:pPr>
        <w:numPr>
          <w:ilvl w:val="0"/>
          <w:numId w:val="1001"/>
        </w:numPr>
        <w:pStyle w:val="Compact"/>
      </w:pPr>
      <w:r>
        <w:t xml:space="preserve">This invoice is valid for the fiscal year 2025. In the event of any dispute regarding the scope, quality, or billing of audit services, the parties agree to first seek resolution through good-faith negotiation. Should negotiation fail, the competent court of jurisdiction is the Local Court (Amtsgericht) or Regional Court (Landgericht) Frankfurt am Main, Germany, as per the applicable terms of the engagement letter dated 15 March 2025.</w:t>
      </w:r>
    </w:p>
    <w:p>
      <w:pPr>
        <w:numPr>
          <w:ilvl w:val="0"/>
          <w:numId w:val="1001"/>
        </w:numPr>
        <w:pStyle w:val="Compact"/>
      </w:pPr>
      <w:r>
        <w:t xml:space="preserve">The auditor confirms that all services described herein were performed independently and in accordance with the principles of objectivity, professional skepticism, and due professional care as required by the German Institute of Certified Public Accountants (IDW) and the International Federation of Accountants (IFAC).</w:t>
      </w:r>
    </w:p>
    <w:bookmarkEnd w:id="25"/>
    <w:p>
      <w:pPr>
        <w:pStyle w:val="FirstParagraph"/>
      </w:pPr>
      <w:r>
        <w:rPr>
          <w:bCs/>
          <w:b/>
        </w:rPr>
        <w:t xml:space="preserve">Frankfurt Audit &amp; Compliance GmbH</w:t>
      </w:r>
      <w:r>
        <w:t xml:space="preserve"> </w:t>
      </w:r>
      <w:r>
        <w:t xml:space="preserve">– Managing Director: Prof. Dr. Elena Hartmann</w:t>
      </w:r>
    </w:p>
    <w:p>
      <w:pPr>
        <w:pStyle w:val="BodyText"/>
      </w:pPr>
      <w:r>
        <w:t xml:space="preserve">Neue Mainzer Straße 142, 60311 Frankfurt am Main, Germany</w:t>
      </w:r>
    </w:p>
    <w:p>
      <w:pPr>
        <w:pStyle w:val="BodyText"/>
      </w:pPr>
      <w:r>
        <w:t xml:space="preserve">USt-IdNr.: DE 318 456 721 | HRB 98765, Amtsgericht Frankfurt am Main</w:t>
      </w:r>
    </w:p>
    <w:p>
      <w:pPr>
        <w:pStyle w:val="BodyText"/>
      </w:pPr>
      <w:r>
        <w:t xml:space="preserve">Wirtschaftsprüferkammer (WPK) Registration: WPK Hessen 4521</w:t>
      </w:r>
    </w:p>
    <w:p>
      <w:pPr>
        <w:pStyle w:val="BodyText"/>
      </w:pPr>
      <w:r>
        <w:t xml:space="preserve">www.frankfurt-audit-compliance.de | billing@frankfurt-audit-compliance.de</w:t>
      </w:r>
    </w:p>
    <w:p>
      <w:pPr>
        <w:pStyle w:val="BodyText"/>
      </w:pPr>
      <w:r>
        <w:t xml:space="preserve">This invoice constitutes a legally binding document under German commercial law. It is issued in accordance with Section 14 of the German VAT Act (UStG) and the requirements of the German Commercial Code (HGB) regarding the documentation of business transactions. The auditor retains the right to correct or supplement this invoice in the event of clerical errors, provided that such corrections are communicated in writing within 30 days of the original issue date. All rights reserved. © 2025 Frankfurt Audit &amp; Compliance GmbH,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 Services - Frankfurt, Germany</dc:title>
  <dc:creator/>
  <dc:language>en</dc:language>
  <cp:keywords/>
  <dcterms:created xsi:type="dcterms:W3CDTF">2026-10-10T08:31:12Z</dcterms:created>
  <dcterms:modified xsi:type="dcterms:W3CDTF">2026-10-10T08:31:12Z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