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Indonesia</w:t>
      </w:r>
      <w:r>
        <w:t xml:space="preserve"> </w:t>
      </w:r>
      <w:r>
        <w:t xml:space="preserve">Jakarta</w:t>
      </w:r>
    </w:p>
    <w:bookmarkStart w:id="20" w:name="pt-auditor-nusantara-consulting"/>
    <w:p>
      <w:pPr>
        <w:pStyle w:val="Heading1"/>
      </w:pPr>
      <w:r>
        <w:t xml:space="preserve">PT Auditor Nusantara Consulting</w:t>
      </w:r>
    </w:p>
    <w:p>
      <w:pPr>
        <w:pStyle w:val="FirstParagraph"/>
      </w:pPr>
      <w:r>
        <w:t xml:space="preserve">Jl. Jend. Sudirman Kav. 52-53, Menara Auditor Lt. 18</w:t>
      </w:r>
    </w:p>
    <w:p>
      <w:pPr>
        <w:pStyle w:val="BodyText"/>
      </w:pPr>
      <w:r>
        <w:t xml:space="preserve">Jakarta Selatan, Indonesia Jakarta 12190</w:t>
      </w:r>
    </w:p>
    <w:p>
      <w:pPr>
        <w:pStyle w:val="BodyText"/>
      </w:pPr>
      <w:r>
        <w:t xml:space="preserve">Tel: +62-21-5790-1234 | Email: billing@auditornusantara.co.id</w:t>
      </w:r>
    </w:p>
    <w:p>
      <w:pPr>
        <w:pStyle w:val="BodyText"/>
      </w:pPr>
      <w:r>
        <w:t xml:space="preserve">NPWP: 01.234.567.8-012.000</w:t>
      </w:r>
    </w:p>
    <w:bookmarkEnd w:id="20"/>
    <w:bookmarkStart w:id="21" w:name="invoice"/>
    <w:p>
      <w:pPr>
        <w:pStyle w:val="Heading2"/>
      </w:pPr>
      <w:r>
        <w:t xml:space="preserve">INVOICE</w:t>
      </w:r>
    </w:p>
    <w:p>
      <w:pPr>
        <w:pStyle w:val="FirstParagraph"/>
      </w:pPr>
      <w:r>
        <w:t xml:space="preserve">Invoice No: INV/2025/JKT/00487</w:t>
      </w:r>
    </w:p>
    <w:p>
      <w:pPr>
        <w:pStyle w:val="BodyText"/>
      </w:pPr>
      <w:r>
        <w:t xml:space="preserve">Date: 15 June 2025</w:t>
      </w:r>
    </w:p>
    <w:p>
      <w:pPr>
        <w:pStyle w:val="BodyText"/>
      </w:pPr>
      <w:r>
        <w:t xml:space="preserve">Due Date: 15 July 2025</w:t>
      </w:r>
    </w:p>
    <w:p>
      <w:pPr>
        <w:pStyle w:val="BodyText"/>
      </w:pPr>
      <w:r>
        <w:t xml:space="preserve">AUDITOR SERVICES</w:t>
      </w:r>
    </w:p>
    <w:bookmarkEnd w:id="21"/>
    <w:bookmarkStart w:id="22" w:name="billed-to"/>
    <w:p>
      <w:pPr>
        <w:pStyle w:val="Heading3"/>
      </w:pPr>
      <w:r>
        <w:t xml:space="preserve">Billed To</w:t>
      </w:r>
    </w:p>
    <w:p>
      <w:pPr>
        <w:pStyle w:val="FirstParagraph"/>
      </w:pPr>
      <w:r>
        <w:rPr>
          <w:bCs/>
          <w:b/>
        </w:rPr>
        <w:t xml:space="preserve">PT Maju Sejahtera Industri</w:t>
      </w:r>
    </w:p>
    <w:p>
      <w:pPr>
        <w:pStyle w:val="BodyText"/>
      </w:pPr>
      <w:r>
        <w:t xml:space="preserve">Jl. Gatot Subroto Kav. 28, SCBD</w:t>
      </w:r>
    </w:p>
    <w:p>
      <w:pPr>
        <w:pStyle w:val="BodyText"/>
      </w:pPr>
      <w:r>
        <w:t xml:space="preserve">Jakarta Pusat, Indonesia Jakarta 10220</w:t>
      </w:r>
    </w:p>
    <w:p>
      <w:pPr>
        <w:pStyle w:val="BodyText"/>
      </w:pPr>
      <w:r>
        <w:t xml:space="preserve">Attn: Mr. Budi Santoso, CFO</w:t>
      </w:r>
    </w:p>
    <w:p>
      <w:pPr>
        <w:pStyle w:val="BodyText"/>
      </w:pPr>
      <w:r>
        <w:t xml:space="preserve">NPWP: 09.876.543.2-034.000</w:t>
      </w:r>
    </w:p>
    <w:bookmarkEnd w:id="22"/>
    <w:bookmarkStart w:id="23" w:name="service-details"/>
    <w:p>
      <w:pPr>
        <w:pStyle w:val="Heading3"/>
      </w:pPr>
      <w:r>
        <w:t xml:space="preserve">Service Details</w:t>
      </w:r>
    </w:p>
    <w:p>
      <w:pPr>
        <w:pStyle w:val="FirstParagraph"/>
      </w:pPr>
      <w:r>
        <w:rPr>
          <w:bCs/>
          <w:b/>
        </w:rPr>
        <w:t xml:space="preserve">Engagement:</w:t>
      </w:r>
      <w:r>
        <w:t xml:space="preserve"> </w:t>
      </w:r>
      <w:r>
        <w:t xml:space="preserve">Annual Financial Audit</w:t>
      </w:r>
    </w:p>
    <w:p>
      <w:pPr>
        <w:pStyle w:val="BodyText"/>
      </w:pPr>
      <w:r>
        <w:rPr>
          <w:bCs/>
          <w:b/>
        </w:rPr>
        <w:t xml:space="preserve">Auditor Lead:</w:t>
      </w:r>
      <w:r>
        <w:t xml:space="preserve"> </w:t>
      </w:r>
      <w:r>
        <w:t xml:space="preserve">Ir. Siti Rahmawati, CPA</w:t>
      </w:r>
    </w:p>
    <w:p>
      <w:pPr>
        <w:pStyle w:val="BodyText"/>
      </w:pPr>
      <w:r>
        <w:rPr>
          <w:bCs/>
          <w:b/>
        </w:rPr>
        <w:t xml:space="preserve">Period Covered:</w:t>
      </w:r>
      <w:r>
        <w:t xml:space="preserve"> </w:t>
      </w:r>
      <w:r>
        <w:t xml:space="preserve">1 Jan – 31 Dec 2024</w:t>
      </w:r>
    </w:p>
    <w:p>
      <w:pPr>
        <w:pStyle w:val="BodyText"/>
      </w:pPr>
      <w:r>
        <w:rPr>
          <w:bCs/>
          <w:b/>
        </w:rPr>
        <w:t xml:space="preserve">Reference:</w:t>
      </w:r>
      <w:r>
        <w:t xml:space="preserve"> </w:t>
      </w:r>
      <w:r>
        <w:t xml:space="preserve">Contract No. CS/2024/0891</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Auditor Services</w:t>
            </w:r>
          </w:p>
        </w:tc>
        <w:tc>
          <w:tcPr/>
          <w:p>
            <w:pPr>
              <w:pStyle w:val="Compact"/>
              <w:jc w:val="left"/>
            </w:pPr>
            <w:r>
              <w:t xml:space="preserve">Quantity</w:t>
            </w:r>
          </w:p>
        </w:tc>
        <w:tc>
          <w:tcPr/>
          <w:p>
            <w:pPr>
              <w:pStyle w:val="Compact"/>
              <w:jc w:val="left"/>
            </w:pPr>
            <w:r>
              <w:t xml:space="preserve">Unit Rate (IDR)</w:t>
            </w:r>
          </w:p>
        </w:tc>
        <w:tc>
          <w:tcPr/>
          <w:p>
            <w:pPr>
              <w:pStyle w:val="Compact"/>
              <w:jc w:val="left"/>
            </w:pPr>
            <w:r>
              <w:t xml:space="preserve">Amount (IDR)</w:t>
            </w:r>
          </w:p>
        </w:tc>
      </w:tr>
      <w:tr>
        <w:tc>
          <w:tcPr/>
          <w:p>
            <w:pPr>
              <w:pStyle w:val="Compact"/>
              <w:jc w:val="left"/>
            </w:pPr>
            <w:r>
              <w:t xml:space="preserve">1</w:t>
            </w:r>
          </w:p>
        </w:tc>
        <w:tc>
          <w:tcPr/>
          <w:p>
            <w:pPr>
              <w:pStyle w:val="Compact"/>
              <w:jc w:val="left"/>
            </w:pPr>
            <w:r>
              <w:t xml:space="preserve">Planning and scoping of the annual financial audit engagement for the fiscal year 2024, including risk assessment, materiality determination, and audit programme development conducted by the senior Auditor team in Indonesia Jakarta.</w:t>
            </w:r>
          </w:p>
        </w:tc>
        <w:tc>
          <w:tcPr/>
          <w:p>
            <w:pPr>
              <w:pStyle w:val="Compact"/>
              <w:jc w:val="left"/>
            </w:pPr>
            <w:r>
              <w:t xml:space="preserve">1</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2</w:t>
            </w:r>
          </w:p>
        </w:tc>
        <w:tc>
          <w:tcPr/>
          <w:p>
            <w:pPr>
              <w:pStyle w:val="Compact"/>
              <w:jc w:val="left"/>
            </w:pPr>
            <w:r>
              <w:t xml:space="preserve">Fieldwork and substantive testing of financial statements, including verification of revenue, cost of goods sold, accounts receivable, inventory, and cash balances. Performed by a team of four (4) Auditor professionals over a period of twenty-five (25) working days at the client's premises in Indonesia Jakarta.</w:t>
            </w:r>
          </w:p>
        </w:tc>
        <w:tc>
          <w:tcPr/>
          <w:p>
            <w:pPr>
              <w:pStyle w:val="Compact"/>
              <w:jc w:val="left"/>
            </w:pPr>
            <w:r>
              <w:t xml:space="preserve">25</w:t>
            </w:r>
          </w:p>
        </w:tc>
        <w:tc>
          <w:tcPr/>
          <w:p>
            <w:pPr>
              <w:pStyle w:val="Compact"/>
              <w:jc w:val="left"/>
            </w:pPr>
            <w:r>
              <w:t xml:space="preserve">8,500,000</w:t>
            </w:r>
          </w:p>
        </w:tc>
        <w:tc>
          <w:tcPr/>
          <w:p>
            <w:pPr>
              <w:pStyle w:val="Compact"/>
              <w:jc w:val="left"/>
            </w:pPr>
            <w:r>
              <w:t xml:space="preserve">212,500,000</w:t>
            </w:r>
          </w:p>
        </w:tc>
      </w:tr>
      <w:tr>
        <w:tc>
          <w:tcPr/>
          <w:p>
            <w:pPr>
              <w:pStyle w:val="Compact"/>
              <w:jc w:val="left"/>
            </w:pPr>
            <w:r>
              <w:t xml:space="preserve">3</w:t>
            </w:r>
          </w:p>
        </w:tc>
        <w:tc>
          <w:tcPr/>
          <w:p>
            <w:pPr>
              <w:pStyle w:val="Compact"/>
              <w:jc w:val="left"/>
            </w:pPr>
            <w:r>
              <w:t xml:space="preserve">Internal control review and compliance assessment in accordance with Indonesian Financial Reporting Standards (SAK) and the standards set by the Indonesian Institute of Certified Public Accountants (IAPI). The Auditor team evaluated the effectiveness of internal controls across all material departments.</w:t>
            </w:r>
          </w:p>
        </w:tc>
        <w:tc>
          <w:tcPr/>
          <w:p>
            <w:pPr>
              <w:pStyle w:val="Compact"/>
              <w:jc w:val="left"/>
            </w:pPr>
            <w:r>
              <w:t xml:space="preserve">1</w:t>
            </w:r>
          </w:p>
        </w:tc>
        <w:tc>
          <w:tcPr/>
          <w:p>
            <w:pPr>
              <w:pStyle w:val="Compact"/>
              <w:jc w:val="left"/>
            </w:pPr>
            <w:r>
              <w:t xml:space="preserve">35,000,000</w:t>
            </w:r>
          </w:p>
        </w:tc>
        <w:tc>
          <w:tcPr/>
          <w:p>
            <w:pPr>
              <w:pStyle w:val="Compact"/>
              <w:jc w:val="left"/>
            </w:pPr>
            <w:r>
              <w:t xml:space="preserve">35,000,000</w:t>
            </w:r>
          </w:p>
        </w:tc>
      </w:tr>
      <w:tr>
        <w:tc>
          <w:tcPr/>
          <w:p>
            <w:pPr>
              <w:pStyle w:val="Compact"/>
              <w:jc w:val="left"/>
            </w:pPr>
            <w:r>
              <w:t xml:space="preserve">4</w:t>
            </w:r>
          </w:p>
        </w:tc>
        <w:tc>
          <w:tcPr/>
          <w:p>
            <w:pPr>
              <w:pStyle w:val="Compact"/>
              <w:jc w:val="left"/>
            </w:pPr>
            <w:r>
              <w:t xml:space="preserve">Preparation and issuance of the Auditor's opinion letter, management letter, and summary of findings. This includes the drafting of the audit report, communication of material weaknesses, and a follow-up meeting with the Board of Directors in Indonesia Jakarta.</w:t>
            </w:r>
          </w:p>
        </w:tc>
        <w:tc>
          <w:tcPr/>
          <w:p>
            <w:pPr>
              <w:pStyle w:val="Compact"/>
              <w:jc w:val="left"/>
            </w:pPr>
            <w:r>
              <w:t xml:space="preserve">1</w:t>
            </w:r>
          </w:p>
        </w:tc>
        <w:tc>
          <w:tcPr/>
          <w:p>
            <w:pPr>
              <w:pStyle w:val="Compact"/>
              <w:jc w:val="left"/>
            </w:pPr>
            <w:r>
              <w:t xml:space="preserve">28,000,000</w:t>
            </w:r>
          </w:p>
        </w:tc>
        <w:tc>
          <w:tcPr/>
          <w:p>
            <w:pPr>
              <w:pStyle w:val="Compact"/>
              <w:jc w:val="left"/>
            </w:pPr>
            <w:r>
              <w:t xml:space="preserve">28,000,000</w:t>
            </w:r>
          </w:p>
        </w:tc>
      </w:tr>
      <w:tr>
        <w:tc>
          <w:tcPr/>
          <w:p>
            <w:pPr>
              <w:pStyle w:val="Compact"/>
              <w:jc w:val="left"/>
            </w:pPr>
            <w:r>
              <w:t xml:space="preserve">5</w:t>
            </w:r>
          </w:p>
        </w:tc>
        <w:tc>
          <w:tcPr/>
          <w:p>
            <w:pPr>
              <w:pStyle w:val="Compact"/>
              <w:jc w:val="left"/>
            </w:pPr>
            <w:r>
              <w:t xml:space="preserve">Travel, accommodation, and logistical support for the Auditor team members deployed from the regional office to the client's facility in Indonesia Jakarta. Includes transportation, per diem, and workspace provisions for the duration of the engagement.</w:t>
            </w:r>
          </w:p>
        </w:tc>
        <w:tc>
          <w:tcPr/>
          <w:p>
            <w:pPr>
              <w:pStyle w:val="Compact"/>
              <w:jc w:val="left"/>
            </w:pPr>
            <w:r>
              <w:t xml:space="preserve">1</w:t>
            </w:r>
          </w:p>
        </w:tc>
        <w:tc>
          <w:tcPr/>
          <w:p>
            <w:pPr>
              <w:pStyle w:val="Compact"/>
              <w:jc w:val="left"/>
            </w:pPr>
            <w:r>
              <w:t xml:space="preserve">12,000,000</w:t>
            </w:r>
          </w:p>
        </w:tc>
        <w:tc>
          <w:tcPr/>
          <w:p>
            <w:pPr>
              <w:pStyle w:val="Compact"/>
              <w:jc w:val="left"/>
            </w:pPr>
            <w:r>
              <w:t xml:space="preserve">12,000,000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IDR 332,500,000</w:t>
            </w:r>
          </w:p>
        </w:tc>
      </w:tr>
      <w:tr>
        <w:tc>
          <w:tcPr/>
          <w:p>
            <w:pPr>
              <w:pStyle w:val="Compact"/>
              <w:jc w:val="left"/>
            </w:pPr>
            <w:r>
              <w:t xml:space="preserve">VAT (PPN) 11%</w:t>
            </w:r>
          </w:p>
        </w:tc>
        <w:tc>
          <w:tcPr/>
          <w:p>
            <w:pPr>
              <w:pStyle w:val="Compact"/>
              <w:jc w:val="left"/>
            </w:pPr>
            <w:r>
              <w:t xml:space="preserve">IDR 36,575,000</w:t>
            </w:r>
          </w:p>
        </w:tc>
      </w:tr>
      <w:tr>
        <w:tc>
          <w:tcPr/>
          <w:p>
            <w:pPr>
              <w:pStyle w:val="Compact"/>
              <w:jc w:val="left"/>
            </w:pPr>
            <w:r>
              <w:t xml:space="preserve">Withholding Tax (PPh 23) 2%</w:t>
            </w:r>
          </w:p>
        </w:tc>
        <w:tc>
          <w:tcPr/>
          <w:p>
            <w:pPr>
              <w:pStyle w:val="Compact"/>
              <w:jc w:val="left"/>
            </w:pPr>
            <w:r>
              <w:t xml:space="preserve">(IDR 6,650,000)</w:t>
            </w:r>
          </w:p>
        </w:tc>
      </w:tr>
      <w:tr>
        <w:tc>
          <w:tcPr/>
          <w:p>
            <w:pPr>
              <w:pStyle w:val="Compact"/>
              <w:jc w:val="left"/>
            </w:pPr>
            <w:r>
              <w:t xml:space="preserve">Grand Total Due</w:t>
            </w:r>
          </w:p>
        </w:tc>
        <w:tc>
          <w:tcPr/>
          <w:p>
            <w:pPr>
              <w:pStyle w:val="Compact"/>
              <w:jc w:val="left"/>
            </w:pPr>
            <w:r>
              <w:t xml:space="preserve">IDR 362,425,000</w:t>
            </w:r>
          </w:p>
        </w:tc>
      </w:tr>
    </w:tbl>
    <w:bookmarkStart w:id="24" w:name="notes-regarding-this-invoice"/>
    <w:p>
      <w:pPr>
        <w:pStyle w:val="Heading3"/>
      </w:pPr>
      <w:r>
        <w:t xml:space="preserve">Notes Regarding This Invoice</w:t>
      </w:r>
    </w:p>
    <w:p>
      <w:pPr>
        <w:numPr>
          <w:ilvl w:val="0"/>
          <w:numId w:val="1001"/>
        </w:numPr>
        <w:pStyle w:val="Compact"/>
      </w:pPr>
      <w:r>
        <w:t xml:space="preserve">This Invoice is issued by PT Auditor Nusantara Consulting, a registered firm of Auditor professionals operating in Indonesia Jakarta, in accordance with the engagement letter signed on 15 December 2024.</w:t>
      </w:r>
    </w:p>
    <w:p>
      <w:pPr>
        <w:numPr>
          <w:ilvl w:val="0"/>
          <w:numId w:val="1001"/>
        </w:numPr>
        <w:pStyle w:val="Compact"/>
      </w:pPr>
      <w:r>
        <w:t xml:space="preserve">All Auditor services described herein were performed in strict compliance with the Indonesian Standard on Auditing (SAI) and the professional ethics code of IAPI.</w:t>
      </w:r>
    </w:p>
    <w:p>
      <w:pPr>
        <w:numPr>
          <w:ilvl w:val="0"/>
          <w:numId w:val="1001"/>
        </w:numPr>
        <w:pStyle w:val="Compact"/>
      </w:pPr>
      <w:r>
        <w:t xml:space="preserve">The total amount stated in this Invoice is subject to the applicable Indonesian tax regulations, including Value Added Tax (PPN) at 11% and Withholding Tax (PPh Pasal 23) at 2% as mandated by the Directorate General of Taxes of Indonesia Jakarta.</w:t>
      </w:r>
    </w:p>
    <w:p>
      <w:pPr>
        <w:numPr>
          <w:ilvl w:val="0"/>
          <w:numId w:val="1001"/>
        </w:numPr>
        <w:pStyle w:val="Compact"/>
      </w:pPr>
      <w:r>
        <w:t xml:space="preserve">Payment is due within thirty (30) calendar days from the date of this Invoice. Late payments shall incur a penalty of 1.5% per month as stipulated in the service agreement.</w:t>
      </w:r>
    </w:p>
    <w:p>
      <w:pPr>
        <w:numPr>
          <w:ilvl w:val="0"/>
          <w:numId w:val="1001"/>
        </w:numPr>
        <w:pStyle w:val="Compact"/>
      </w:pPr>
      <w:r>
        <w:t xml:space="preserve">Please reference Invoice number INV/2025/JKT/00487 in all correspondence and remittance advices related to this billing.</w:t>
      </w:r>
    </w:p>
    <w:bookmarkEnd w:id="24"/>
    <w:bookmarkStart w:id="25" w:name="payment-instructions"/>
    <w:p>
      <w:pPr>
        <w:pStyle w:val="Heading3"/>
      </w:pPr>
      <w:r>
        <w:t xml:space="preserve">Payment Instructions</w:t>
      </w:r>
    </w:p>
    <w:p>
      <w:pPr>
        <w:pStyle w:val="FirstParagraph"/>
      </w:pPr>
      <w:r>
        <w:rPr>
          <w:bCs/>
          <w:b/>
        </w:rPr>
        <w:t xml:space="preserve">Bank:</w:t>
      </w:r>
      <w:r>
        <w:t xml:space="preserve"> </w:t>
      </w:r>
      <w:r>
        <w:t xml:space="preserve">Bank Central Asia (BCA)</w:t>
      </w:r>
    </w:p>
    <w:p>
      <w:pPr>
        <w:pStyle w:val="BodyText"/>
      </w:pPr>
      <w:r>
        <w:rPr>
          <w:bCs/>
          <w:b/>
        </w:rPr>
        <w:t xml:space="preserve">Account Name:</w:t>
      </w:r>
      <w:r>
        <w:t xml:space="preserve"> </w:t>
      </w:r>
      <w:r>
        <w:t xml:space="preserve">PT Auditor Nusantara Consulting</w:t>
      </w:r>
    </w:p>
    <w:p>
      <w:pPr>
        <w:pStyle w:val="BodyText"/>
      </w:pPr>
      <w:r>
        <w:rPr>
          <w:bCs/>
          <w:b/>
        </w:rPr>
        <w:t xml:space="preserve">Account Number:</w:t>
      </w:r>
      <w:r>
        <w:t xml:space="preserve"> </w:t>
      </w:r>
      <w:r>
        <w:t xml:space="preserve">082-3456-789-012</w:t>
      </w:r>
    </w:p>
    <w:p>
      <w:pPr>
        <w:pStyle w:val="BodyText"/>
      </w:pPr>
      <w:r>
        <w:rPr>
          <w:bCs/>
          <w:b/>
        </w:rPr>
        <w:t xml:space="preserve">Branch:</w:t>
      </w:r>
      <w:r>
        <w:t xml:space="preserve"> </w:t>
      </w:r>
      <w:r>
        <w:t xml:space="preserve">Jakarta Sudirman, Indonesia Jakarta</w:t>
      </w:r>
    </w:p>
    <w:p>
      <w:pPr>
        <w:pStyle w:val="BodyText"/>
      </w:pPr>
      <w:r>
        <w:rPr>
          <w:bCs/>
          <w:b/>
        </w:rPr>
        <w:t xml:space="preserve">SWIFT Code:</w:t>
      </w:r>
      <w:r>
        <w:t xml:space="preserve"> </w:t>
      </w:r>
      <w:r>
        <w:t xml:space="preserve">CBAKIDJA</w:t>
      </w:r>
    </w:p>
    <w:p>
      <w:pPr>
        <w:pStyle w:val="BodyText"/>
      </w:pPr>
      <w:r>
        <w:rPr>
          <w:bCs/>
          <w:b/>
        </w:rPr>
        <w:t xml:space="preserve">Reference:</w:t>
      </w:r>
      <w:r>
        <w:t xml:space="preserve"> </w:t>
      </w:r>
      <w:r>
        <w:t xml:space="preserve">INV/2025/JKT/00487</w:t>
      </w:r>
    </w:p>
    <w:bookmarkEnd w:id="25"/>
    <w:bookmarkStart w:id="26" w:name="terms-and-conditions"/>
    <w:p>
      <w:pPr>
        <w:pStyle w:val="Heading3"/>
      </w:pPr>
      <w:r>
        <w:t xml:space="preserve">Terms and Conditions</w:t>
      </w:r>
    </w:p>
    <w:p>
      <w:pPr>
        <w:numPr>
          <w:ilvl w:val="0"/>
          <w:numId w:val="1002"/>
        </w:numPr>
        <w:pStyle w:val="Compact"/>
      </w:pPr>
      <w:r>
        <w:t xml:space="preserve">This Invoice constitutes a formal request for payment for Auditor services rendered by PT Auditor Nusantara Consulting to PT Maju Sejahtera Industri for the fiscal year 2024. The Auditor engagement was conducted entirely within the jurisdiction of Indonesia Jakarta.</w:t>
      </w:r>
    </w:p>
    <w:p>
      <w:pPr>
        <w:numPr>
          <w:ilvl w:val="0"/>
          <w:numId w:val="1002"/>
        </w:numPr>
        <w:pStyle w:val="Compact"/>
      </w:pPr>
      <w:r>
        <w:t xml:space="preserve">The Auditor team reserves the right to issue supplementary invoices should additional procedures be required to complete the audit opinion in accordance with professional standards. Any such supplementary Invoice will be communicated in writing within five (5) business days.</w:t>
      </w:r>
    </w:p>
    <w:p>
      <w:pPr>
        <w:numPr>
          <w:ilvl w:val="0"/>
          <w:numId w:val="1002"/>
        </w:numPr>
        <w:pStyle w:val="Compact"/>
      </w:pPr>
      <w:r>
        <w:t xml:space="preserve">All work products, including the Auditor's report, management letter, and supporting documentation, remain the intellectual property of PT Auditor Nusantara Consulting until full payment of this Invoice has been received and verified.</w:t>
      </w:r>
    </w:p>
    <w:p>
      <w:pPr>
        <w:numPr>
          <w:ilvl w:val="0"/>
          <w:numId w:val="1002"/>
        </w:numPr>
        <w:pStyle w:val="Compact"/>
      </w:pPr>
      <w:r>
        <w:t xml:space="preserve">Disputes arising from this Invoice or the underlying Auditor engagement shall be resolved through mediation in Indonesia Jakarta in accordance with the laws of the Republic of Indonesia. If mediation fails, the matter shall be referred to the Commercial Court of Jakarta.</w:t>
      </w:r>
    </w:p>
    <w:p>
      <w:pPr>
        <w:numPr>
          <w:ilvl w:val="0"/>
          <w:numId w:val="1002"/>
        </w:numPr>
        <w:pStyle w:val="Compact"/>
      </w:pPr>
      <w:r>
        <w:t xml:space="preserve">This Invoice is valid for a period of ninety (90) days from the date of issue. After this period, the Auditor firm reserves the right to reissue the Invoice with updated tax calculations if applicable regulations in Indonesia Jakarta have changed.</w:t>
      </w:r>
    </w:p>
    <w:p>
      <w:pPr>
        <w:numPr>
          <w:ilvl w:val="0"/>
          <w:numId w:val="1002"/>
        </w:numPr>
        <w:pStyle w:val="Compact"/>
      </w:pPr>
      <w:r>
        <w:t xml:space="preserve">By accepting this Invoice, the client acknowledges that the Auditor services have been completed to the satisfaction of both parties and that the findings and opinions expressed in the audit report are final and binding.</w:t>
      </w:r>
    </w:p>
    <w:bookmarkEnd w:id="26"/>
    <w:p>
      <w:pPr>
        <w:pStyle w:val="FirstParagraph"/>
      </w:pPr>
      <w:r>
        <w:rPr>
          <w:bCs/>
          <w:b/>
        </w:rPr>
        <w:t xml:space="preserve">PT Auditor Nusantara Consulting</w:t>
      </w:r>
      <w:r>
        <w:t xml:space="preserve"> </w:t>
      </w:r>
      <w:r>
        <w:t xml:space="preserve">| Jl. Jend. Sudirman Kav. 52-53, Menara Auditor Lt. 18, Jakarta Selatan, Indonesia Jakarta 12190</w:t>
      </w:r>
    </w:p>
    <w:p>
      <w:pPr>
        <w:pStyle w:val="BodyText"/>
      </w:pPr>
      <w:r>
        <w:t xml:space="preserve">Registered with the Indonesian Institute of Certified Public Accountants (IAPI) | License No: 0456/IAPI/2019</w:t>
      </w:r>
    </w:p>
    <w:p>
      <w:pPr>
        <w:pStyle w:val="BodyText"/>
      </w:pPr>
      <w:r>
        <w:t xml:space="preserve">This Invoice was generated electronically and is valid without a physical signature. For inquiries, please contact billing@auditornusantara.co.id or call +62-21-5790-1234.</w:t>
      </w:r>
    </w:p>
    <w:p>
      <w:pPr>
        <w:pStyle w:val="BodyText"/>
      </w:pPr>
      <w:r>
        <w:t xml:space="preserve">© 2025 PT Auditor Nusantara Consulting. All rights reserved. Invoice INV/2025/JKT/00487.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Auditor Services - Indonesia Jakarta</dc:title>
  <dc:creator/>
  <dc:language>en</dc:language>
  <cp:keywords/>
  <dcterms:created xsi:type="dcterms:W3CDTF">2026-10-10T01:06:30Z</dcterms:created>
  <dcterms:modified xsi:type="dcterms:W3CDTF">2026-10-10T01:06:30Z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