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ersian-audit-assurance-group"/>
    <w:p>
      <w:pPr>
        <w:pStyle w:val="Heading1"/>
      </w:pPr>
      <w:r>
        <w:t xml:space="preserve">Persian Audit &amp; Assurance Group</w:t>
      </w:r>
    </w:p>
    <w:p>
      <w:pPr>
        <w:pStyle w:val="FirstParagraph"/>
      </w:pPr>
      <w:r>
        <w:t xml:space="preserve">Professional Auditor Services in Iran Tehran</w:t>
      </w:r>
    </w:p>
    <w:p>
      <w:pPr>
        <w:pStyle w:val="BodyText"/>
      </w:pPr>
      <w:r>
        <w:t xml:space="preserve">Address: 142 Vali-e-Asr Street, 4th Floor, Unit 12, Tehran, Iran</w:t>
      </w:r>
    </w:p>
    <w:p>
      <w:pPr>
        <w:pStyle w:val="BodyText"/>
      </w:pPr>
      <w:r>
        <w:t xml:space="preserve">Phone: +98-21-8876-5432 | Email: billing@persianaudit.ir</w:t>
      </w:r>
    </w:p>
    <w:p>
      <w:pPr>
        <w:pStyle w:val="BodyText"/>
      </w:pPr>
      <w:r>
        <w:t xml:space="preserve">Registration No. (Iran Tehran Chamber of Commerce): 4521-8876</w:t>
      </w:r>
    </w:p>
    <w:p>
      <w:pPr>
        <w:pStyle w:val="BodyText"/>
      </w:pPr>
      <w:r>
        <w:t xml:space="preserve">Licensed Auditor – Iran Tehran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PA-2025-00487</w:t>
      </w:r>
    </w:p>
    <w:p>
      <w:pPr>
        <w:pStyle w:val="BodyText"/>
      </w:pPr>
      <w:r>
        <w:rPr>
          <w:bCs/>
          <w:b/>
        </w:rPr>
        <w:t xml:space="preserve">Issue Date:</w:t>
      </w:r>
      <w:r>
        <w:t xml:space="preserve"> </w:t>
      </w:r>
      <w:r>
        <w:t xml:space="preserve">15 Farvardin 1404 (April 5, 2025)</w:t>
      </w:r>
    </w:p>
    <w:p>
      <w:pPr>
        <w:pStyle w:val="BodyText"/>
      </w:pPr>
      <w:r>
        <w:rPr>
          <w:bCs/>
          <w:b/>
        </w:rPr>
        <w:t xml:space="preserve">Due Date:</w:t>
      </w:r>
      <w:r>
        <w:t xml:space="preserve"> </w:t>
      </w:r>
      <w:r>
        <w:t xml:space="preserve">30 Farvardin 1404 (April 20, 2025)</w:t>
      </w:r>
    </w:p>
    <w:p>
      <w:pPr>
        <w:pStyle w:val="BodyText"/>
      </w:pPr>
      <w:r>
        <w:rPr>
          <w:bCs/>
          <w:b/>
        </w:rPr>
        <w:t xml:space="preserve">Currency:</w:t>
      </w:r>
      <w:r>
        <w:t xml:space="preserve"> </w:t>
      </w:r>
      <w:r>
        <w:t xml:space="preserve">Iranian Rial (IRR)</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Kharazmi Industrial Holdings Co.</w:t>
      </w:r>
    </w:p>
    <w:p>
      <w:pPr>
        <w:pStyle w:val="BodyText"/>
      </w:pPr>
      <w:r>
        <w:rPr>
          <w:bCs/>
          <w:b/>
        </w:rPr>
        <w:t xml:space="preserve">Address:</w:t>
      </w:r>
      <w:r>
        <w:t xml:space="preserve"> </w:t>
      </w:r>
      <w:r>
        <w:t xml:space="preserve">88 Enghelab Avenue, 3rd Floor, Tehran, Iran</w:t>
      </w:r>
    </w:p>
    <w:p>
      <w:pPr>
        <w:pStyle w:val="BodyText"/>
      </w:pPr>
      <w:r>
        <w:rPr>
          <w:bCs/>
          <w:b/>
        </w:rPr>
        <w:t xml:space="preserve">Contact Person:</w:t>
      </w:r>
      <w:r>
        <w:t xml:space="preserve"> </w:t>
      </w:r>
      <w:r>
        <w:t xml:space="preserve">Mr. Reza Mohammadi, CFO</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finance@kharazmi-holdings.ir</w:t>
      </w:r>
    </w:p>
    <w:p>
      <w:pPr>
        <w:pStyle w:val="BodyText"/>
      </w:pPr>
      <w:r>
        <w:rPr>
          <w:bCs/>
          <w:b/>
        </w:rPr>
        <w:t xml:space="preserve">Tax Code (Iran Tehran):</w:t>
      </w:r>
      <w:r>
        <w:t xml:space="preserve"> </w:t>
      </w:r>
      <w:r>
        <w:t xml:space="preserve">102-4587-9921</w:t>
      </w:r>
    </w:p>
    <w:bookmarkEnd w:id="22"/>
    <w:bookmarkStart w:id="23" w:name="prepared-by-auditor"/>
    <w:p>
      <w:pPr>
        <w:pStyle w:val="Heading3"/>
      </w:pPr>
      <w:r>
        <w:t xml:space="preserve">Prepared By (Auditor)</w:t>
      </w:r>
    </w:p>
    <w:p>
      <w:pPr>
        <w:pStyle w:val="FirstParagraph"/>
      </w:pPr>
      <w:r>
        <w:rPr>
          <w:bCs/>
          <w:b/>
        </w:rPr>
        <w:t xml:space="preserve">Auditor Name:</w:t>
      </w:r>
      <w:r>
        <w:t xml:space="preserve"> </w:t>
      </w:r>
      <w:r>
        <w:t xml:space="preserve">Dr. Saeed Karimi, CPA</w:t>
      </w:r>
    </w:p>
    <w:p>
      <w:pPr>
        <w:pStyle w:val="BodyText"/>
      </w:pPr>
      <w:r>
        <w:rPr>
          <w:bCs/>
          <w:b/>
        </w:rPr>
        <w:t xml:space="preserve">Role:</w:t>
      </w:r>
      <w:r>
        <w:t xml:space="preserve"> </w:t>
      </w:r>
      <w:r>
        <w:t xml:space="preserve">Lead Auditor, Persian Audit &amp; Assurance Group</w:t>
      </w:r>
    </w:p>
    <w:p>
      <w:pPr>
        <w:pStyle w:val="BodyText"/>
      </w:pPr>
      <w:r>
        <w:rPr>
          <w:bCs/>
          <w:b/>
        </w:rPr>
        <w:t xml:space="preserve">License No.:</w:t>
      </w:r>
      <w:r>
        <w:t xml:space="preserve"> </w:t>
      </w:r>
      <w:r>
        <w:t xml:space="preserve">IR-AUD-2019-3345</w:t>
      </w:r>
    </w:p>
    <w:p>
      <w:pPr>
        <w:pStyle w:val="BodyText"/>
      </w:pPr>
      <w:r>
        <w:rPr>
          <w:bCs/>
          <w:b/>
        </w:rPr>
        <w:t xml:space="preserve">Address:</w:t>
      </w:r>
      <w:r>
        <w:t xml:space="preserve"> </w:t>
      </w:r>
      <w:r>
        <w:t xml:space="preserve">142 Vali-e-Asr Street, Tehran, Iran</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s.karimi@persianaudit.ir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Rate (IRR)</w:t>
            </w:r>
          </w:p>
        </w:tc>
        <w:tc>
          <w:tcPr/>
          <w:p>
            <w:pPr>
              <w:pStyle w:val="Compact"/>
              <w:jc w:val="left"/>
            </w:pPr>
            <w:r>
              <w:t xml:space="preserve">Hours</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Annual Financial Statement Audit – Comprehensive review of balance sheet, income statement, and cash flow for Kharazmi Industrial Holdings. Performed by the Lead Auditor in accordance with Iranian Accounting Standards (IAS) and the regulations of the Iran Tehran Securities and Exchange Organization.</w:t>
            </w:r>
          </w:p>
        </w:tc>
        <w:tc>
          <w:tcPr/>
          <w:p>
            <w:pPr>
              <w:pStyle w:val="Compact"/>
              <w:jc w:val="left"/>
            </w:pPr>
            <w:r>
              <w:t xml:space="preserve">Farvardin–Esfand 1403</w:t>
            </w:r>
          </w:p>
        </w:tc>
        <w:tc>
          <w:tcPr/>
          <w:p>
            <w:pPr>
              <w:pStyle w:val="Compact"/>
              <w:jc w:val="left"/>
            </w:pPr>
            <w:r>
              <w:t xml:space="preserve">2,500,000</w:t>
            </w:r>
          </w:p>
        </w:tc>
        <w:tc>
          <w:tcPr/>
          <w:p>
            <w:pPr>
              <w:pStyle w:val="Compact"/>
              <w:jc w:val="left"/>
            </w:pPr>
            <w:r>
              <w:t xml:space="preserve">120</w:t>
            </w:r>
          </w:p>
        </w:tc>
        <w:tc>
          <w:tcPr/>
          <w:p>
            <w:pPr>
              <w:pStyle w:val="Compact"/>
              <w:jc w:val="left"/>
            </w:pPr>
            <w:r>
              <w:t xml:space="preserve">300,000,000</w:t>
            </w:r>
          </w:p>
        </w:tc>
      </w:tr>
      <w:tr>
        <w:tc>
          <w:tcPr/>
          <w:p>
            <w:pPr>
              <w:pStyle w:val="Compact"/>
              <w:jc w:val="left"/>
            </w:pPr>
            <w:r>
              <w:t xml:space="preserve">2</w:t>
            </w:r>
          </w:p>
        </w:tc>
        <w:tc>
          <w:tcPr/>
          <w:p>
            <w:pPr>
              <w:pStyle w:val="Compact"/>
              <w:jc w:val="left"/>
            </w:pPr>
            <w:r>
              <w:t xml:space="preserve">Internal Control Assessment – The Auditor conducted a thorough evaluation of internal control systems, risk management frameworks, and compliance procedures across all operational divisions located in Iran Tehran. This service includes documentation of findings and remediation recommendations.</w:t>
            </w:r>
          </w:p>
        </w:tc>
        <w:tc>
          <w:tcPr/>
          <w:p>
            <w:pPr>
              <w:pStyle w:val="Compact"/>
              <w:jc w:val="left"/>
            </w:pPr>
            <w:r>
              <w:t xml:space="preserve">Farvardin 1404</w:t>
            </w:r>
          </w:p>
        </w:tc>
        <w:tc>
          <w:tcPr/>
          <w:p>
            <w:pPr>
              <w:pStyle w:val="Compact"/>
              <w:jc w:val="left"/>
            </w:pPr>
            <w:r>
              <w:t xml:space="preserve">1,800,000</w:t>
            </w:r>
          </w:p>
        </w:tc>
        <w:tc>
          <w:tcPr/>
          <w:p>
            <w:pPr>
              <w:pStyle w:val="Compact"/>
              <w:jc w:val="left"/>
            </w:pPr>
            <w:r>
              <w:t xml:space="preserve">60</w:t>
            </w:r>
          </w:p>
        </w:tc>
        <w:tc>
          <w:tcPr/>
          <w:p>
            <w:pPr>
              <w:pStyle w:val="Compact"/>
              <w:jc w:val="left"/>
            </w:pPr>
            <w:r>
              <w:t xml:space="preserve">108,000,000</w:t>
            </w:r>
          </w:p>
        </w:tc>
      </w:tr>
      <w:tr>
        <w:tc>
          <w:tcPr/>
          <w:p>
            <w:pPr>
              <w:pStyle w:val="Compact"/>
              <w:jc w:val="left"/>
            </w:pPr>
            <w:r>
              <w:t xml:space="preserve">3</w:t>
            </w:r>
          </w:p>
        </w:tc>
        <w:tc>
          <w:tcPr/>
          <w:p>
            <w:pPr>
              <w:pStyle w:val="Compact"/>
              <w:jc w:val="left"/>
            </w:pPr>
            <w:r>
              <w:t xml:space="preserve">Tax Compliance Audit – Verification of corporate tax filings, value-added tax (VAT) declarations, and withholding tax obligations in compliance with the Iranian National Tax Administration guidelines applicable to businesses registered in Iran Tehran.</w:t>
            </w:r>
          </w:p>
        </w:tc>
        <w:tc>
          <w:tcPr/>
          <w:p>
            <w:pPr>
              <w:pStyle w:val="Compact"/>
              <w:jc w:val="left"/>
            </w:pPr>
            <w:r>
              <w:t xml:space="preserve">Farvardin–Ordibehesht 1404</w:t>
            </w:r>
          </w:p>
        </w:tc>
        <w:tc>
          <w:tcPr/>
          <w:p>
            <w:pPr>
              <w:pStyle w:val="Compact"/>
              <w:jc w:val="left"/>
            </w:pPr>
            <w:r>
              <w:t xml:space="preserve">2,000,000</w:t>
            </w:r>
          </w:p>
        </w:tc>
        <w:tc>
          <w:tcPr/>
          <w:p>
            <w:pPr>
              <w:pStyle w:val="Compact"/>
              <w:jc w:val="left"/>
            </w:pPr>
            <w:r>
              <w:t xml:space="preserve">40</w:t>
            </w:r>
          </w:p>
        </w:tc>
        <w:tc>
          <w:tcPr/>
          <w:p>
            <w:pPr>
              <w:pStyle w:val="Compact"/>
              <w:jc w:val="left"/>
            </w:pPr>
            <w:r>
              <w:t xml:space="preserve">80,000,000</w:t>
            </w:r>
          </w:p>
        </w:tc>
      </w:tr>
      <w:tr>
        <w:tc>
          <w:tcPr/>
          <w:p>
            <w:pPr>
              <w:pStyle w:val="Compact"/>
              <w:jc w:val="left"/>
            </w:pPr>
            <w:r>
              <w:t xml:space="preserve">4</w:t>
            </w:r>
          </w:p>
        </w:tc>
        <w:tc>
          <w:tcPr/>
          <w:p>
            <w:pPr>
              <w:pStyle w:val="Compact"/>
              <w:jc w:val="left"/>
            </w:pPr>
            <w:r>
              <w:t xml:space="preserve">Forensic Audit &amp; Fraud Investigation – Specialized engagement where the Auditor examined suspicious transactions, reviewed digital records, and interviewed relevant personnel to identify potential irregularities. This Invoice line item covers the full scope of the forensic investigation conducted in Iran Tehran.</w:t>
            </w:r>
          </w:p>
        </w:tc>
        <w:tc>
          <w:tcPr/>
          <w:p>
            <w:pPr>
              <w:pStyle w:val="Compact"/>
              <w:jc w:val="left"/>
            </w:pPr>
            <w:r>
              <w:t xml:space="preserve">Ordibehesht 1404</w:t>
            </w:r>
          </w:p>
        </w:tc>
        <w:tc>
          <w:tcPr/>
          <w:p>
            <w:pPr>
              <w:pStyle w:val="Compact"/>
              <w:jc w:val="left"/>
            </w:pPr>
            <w:r>
              <w:t xml:space="preserve">3,500,000</w:t>
            </w:r>
          </w:p>
        </w:tc>
        <w:tc>
          <w:tcPr/>
          <w:p>
            <w:pPr>
              <w:pStyle w:val="Compact"/>
              <w:jc w:val="left"/>
            </w:pPr>
            <w:r>
              <w:t xml:space="preserve">35</w:t>
            </w:r>
          </w:p>
        </w:tc>
        <w:tc>
          <w:tcPr/>
          <w:p>
            <w:pPr>
              <w:pStyle w:val="Compact"/>
              <w:jc w:val="left"/>
            </w:pPr>
            <w:r>
              <w:t xml:space="preserve">122,500,000</w:t>
            </w:r>
          </w:p>
        </w:tc>
      </w:tr>
      <w:tr>
        <w:tc>
          <w:tcPr/>
          <w:p>
            <w:pPr>
              <w:pStyle w:val="Compact"/>
              <w:jc w:val="left"/>
            </w:pPr>
            <w:r>
              <w:t xml:space="preserve">5</w:t>
            </w:r>
          </w:p>
        </w:tc>
        <w:tc>
          <w:tcPr/>
          <w:p>
            <w:pPr>
              <w:pStyle w:val="Compact"/>
              <w:jc w:val="left"/>
            </w:pPr>
            <w:r>
              <w:t xml:space="preserve">Management Advisory &amp; Reporting – The Auditor prepared a comprehensive audit report, management letter, and advisory memorandum outlining key findings, material weaknesses, and strategic recommendations for the board of directors. This report is submitted to the client and, where required, to the Iran Tehran regulatory authorities.</w:t>
            </w:r>
          </w:p>
        </w:tc>
        <w:tc>
          <w:tcPr/>
          <w:p>
            <w:pPr>
              <w:pStyle w:val="Compact"/>
              <w:jc w:val="left"/>
            </w:pPr>
            <w:r>
              <w:t xml:space="preserve">Ordibehesht 1404</w:t>
            </w:r>
          </w:p>
        </w:tc>
        <w:tc>
          <w:tcPr/>
          <w:p>
            <w:pPr>
              <w:pStyle w:val="Compact"/>
              <w:jc w:val="left"/>
            </w:pPr>
            <w:r>
              <w:t xml:space="preserve">1,500,000</w:t>
            </w:r>
          </w:p>
        </w:tc>
        <w:tc>
          <w:tcPr/>
          <w:p>
            <w:pPr>
              <w:pStyle w:val="Compact"/>
              <w:jc w:val="left"/>
            </w:pPr>
            <w:r>
              <w:t xml:space="preserve">25</w:t>
            </w:r>
          </w:p>
        </w:tc>
        <w:tc>
          <w:tcPr/>
          <w:p>
            <w:pPr>
              <w:pStyle w:val="Compact"/>
              <w:jc w:val="left"/>
            </w:pPr>
            <w:r>
              <w:t xml:space="preserve">37,500,000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648,000,000 IRR</w:t>
            </w:r>
          </w:p>
        </w:tc>
      </w:tr>
      <w:tr>
        <w:tc>
          <w:tcPr/>
          <w:p>
            <w:pPr>
              <w:pStyle w:val="Compact"/>
              <w:jc w:val="left"/>
            </w:pPr>
            <w:r>
              <w:t xml:space="preserve">VAT (9% – Iran Tehran Standard Rate)</w:t>
            </w:r>
          </w:p>
        </w:tc>
        <w:tc>
          <w:tcPr/>
          <w:p>
            <w:pPr>
              <w:pStyle w:val="Compact"/>
              <w:jc w:val="right"/>
            </w:pPr>
            <w:r>
              <w:t xml:space="preserve">58,320,000 IRR</w:t>
            </w:r>
          </w:p>
        </w:tc>
      </w:tr>
      <w:tr>
        <w:tc>
          <w:tcPr/>
          <w:p>
            <w:pPr>
              <w:pStyle w:val="Compact"/>
              <w:jc w:val="left"/>
            </w:pPr>
            <w:r>
              <w:t xml:space="preserve">Discount (Early Payment – 5%)</w:t>
            </w:r>
          </w:p>
        </w:tc>
        <w:tc>
          <w:tcPr/>
          <w:p>
            <w:pPr>
              <w:pStyle w:val="Compact"/>
              <w:jc w:val="right"/>
            </w:pPr>
            <w:r>
              <w:t xml:space="preserve">(32,400,000) IRR</w:t>
            </w:r>
          </w:p>
        </w:tc>
      </w:tr>
      <w:tr>
        <w:tc>
          <w:tcPr/>
          <w:p>
            <w:pPr>
              <w:pStyle w:val="Compact"/>
              <w:jc w:val="left"/>
            </w:pPr>
            <w:r>
              <w:t xml:space="preserve">Grand Total Due</w:t>
            </w:r>
          </w:p>
        </w:tc>
        <w:tc>
          <w:tcPr/>
          <w:p>
            <w:pPr>
              <w:pStyle w:val="Compact"/>
              <w:jc w:val="right"/>
            </w:pPr>
            <w:r>
              <w:t xml:space="preserve">673,920,000 IRR</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by Persian Audit &amp; Assurance Group, a licensed Auditor firm operating in Iran Tehran, and is governed by the laws of the Islamic Republic of Iran.</w:t>
      </w:r>
    </w:p>
    <w:p>
      <w:pPr>
        <w:numPr>
          <w:ilvl w:val="0"/>
          <w:numId w:val="1001"/>
        </w:numPr>
        <w:pStyle w:val="Compact"/>
      </w:pPr>
      <w:r>
        <w:t xml:space="preserve">Payment is due within fifteen (15) calendar days from the Issue Date stated above. Late payments shall incur a penalty of 2% per month as per Iranian commercial law.</w:t>
      </w:r>
    </w:p>
    <w:p>
      <w:pPr>
        <w:numPr>
          <w:ilvl w:val="0"/>
          <w:numId w:val="1001"/>
        </w:numPr>
        <w:pStyle w:val="Compact"/>
      </w:pPr>
      <w:r>
        <w:t xml:space="preserve">The Auditor reserves the right to suspend ongoing services if payment is not received by the Due Date. All work performed by the Auditor prior to the suspension date remains billable.</w:t>
      </w:r>
    </w:p>
    <w:p>
      <w:pPr>
        <w:numPr>
          <w:ilvl w:val="0"/>
          <w:numId w:val="1001"/>
        </w:numPr>
        <w:pStyle w:val="Compact"/>
      </w:pPr>
      <w:r>
        <w:t xml:space="preserve">All audit findings, reports, and documentation prepared by the Auditor are the intellectual property of Persian Audit &amp; Assurance Group and may not be reproduced without written consent.</w:t>
      </w:r>
    </w:p>
    <w:p>
      <w:pPr>
        <w:numPr>
          <w:ilvl w:val="0"/>
          <w:numId w:val="1001"/>
        </w:numPr>
        <w:pStyle w:val="Compact"/>
      </w:pPr>
      <w:r>
        <w:t xml:space="preserve">This Invoice is valid for 30 days from the Issue Date. After this period, the Auditor reserves the right to reissue the Invoice with updated rates.</w:t>
      </w:r>
    </w:p>
    <w:p>
      <w:pPr>
        <w:numPr>
          <w:ilvl w:val="0"/>
          <w:numId w:val="1001"/>
        </w:numPr>
        <w:pStyle w:val="Compact"/>
      </w:pPr>
      <w:r>
        <w:t xml:space="preserve">Any disputes arising from this Invoice shall be resolved through the Iran Tehran Arbitration Center in accordance with the Iranian Civil Code.</w:t>
      </w:r>
    </w:p>
    <w:p>
      <w:pPr>
        <w:numPr>
          <w:ilvl w:val="0"/>
          <w:numId w:val="1001"/>
        </w:numPr>
        <w:pStyle w:val="Compact"/>
      </w:pPr>
      <w:r>
        <w:t xml:space="preserve">The Auditor confirms that all services described in this Invoice were performed in full compliance with the International Standards on Auditing (ISA) and the specific regulatory requirements of the Iran Tehran financial authorities.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Melli Iran (BNI) – Iran Tehran Main Branch</w:t>
      </w:r>
    </w:p>
    <w:p>
      <w:pPr>
        <w:pStyle w:val="BodyText"/>
      </w:pPr>
      <w:r>
        <w:rPr>
          <w:bCs/>
          <w:b/>
        </w:rPr>
        <w:t xml:space="preserve">Account Name:</w:t>
      </w:r>
      <w:r>
        <w:t xml:space="preserve"> </w:t>
      </w:r>
      <w:r>
        <w:t xml:space="preserve">Persian Audit &amp; Assurance Group</w:t>
      </w:r>
    </w:p>
    <w:p>
      <w:pPr>
        <w:pStyle w:val="BodyText"/>
      </w:pPr>
      <w:r>
        <w:rPr>
          <w:bCs/>
          <w:b/>
        </w:rPr>
        <w:t xml:space="preserve">IBAN:</w:t>
      </w:r>
      <w:r>
        <w:t xml:space="preserve"> </w:t>
      </w:r>
      <w:r>
        <w:t xml:space="preserve">IR60 0110 0000 4521 8876 5432 1001</w:t>
      </w:r>
    </w:p>
    <w:p>
      <w:pPr>
        <w:pStyle w:val="BodyText"/>
      </w:pPr>
      <w:r>
        <w:rPr>
          <w:bCs/>
          <w:b/>
        </w:rPr>
        <w:t xml:space="preserve">SWIFT Code:</w:t>
      </w:r>
      <w:r>
        <w:t xml:space="preserve"> </w:t>
      </w:r>
      <w:r>
        <w:t xml:space="preserve">BNIIIRTT</w:t>
      </w:r>
    </w:p>
    <w:p>
      <w:pPr>
        <w:pStyle w:val="BodyText"/>
      </w:pPr>
      <w:r>
        <w:rPr>
          <w:bCs/>
          <w:b/>
        </w:rPr>
        <w:t xml:space="preserve">Reference:</w:t>
      </w:r>
      <w:r>
        <w:t xml:space="preserve"> </w:t>
      </w:r>
      <w:r>
        <w:t xml:space="preserve">Please cite Invoice No. PA-2025-00487 in all payment communications.</w:t>
      </w:r>
    </w:p>
    <w:p>
      <w:pPr>
        <w:pStyle w:val="BodyText"/>
      </w:pPr>
      <w:r>
        <w:rPr>
          <w:bCs/>
          <w:b/>
        </w:rPr>
        <w:t xml:space="preserve">Payment Method:</w:t>
      </w:r>
      <w:r>
        <w:t xml:space="preserve"> </w:t>
      </w:r>
      <w:r>
        <w:t xml:space="preserve">Bank Transfer (Wire) or Cheque payable to the Auditor firm in Iran Tehran.</w:t>
      </w:r>
    </w:p>
    <w:bookmarkEnd w:id="25"/>
    <w:p>
      <w:pPr>
        <w:pStyle w:val="BodyText"/>
      </w:pPr>
      <w:r>
        <w:rPr>
          <w:bCs/>
          <w:b/>
        </w:rPr>
        <w:t xml:space="preserve">Persian Audit &amp; Assurance Group</w:t>
      </w:r>
      <w:r>
        <w:t xml:space="preserve"> </w:t>
      </w:r>
      <w:r>
        <w:t xml:space="preserve">– Professional Auditor Services in Iran Tehran</w:t>
      </w:r>
    </w:p>
    <w:p>
      <w:pPr>
        <w:pStyle w:val="BodyText"/>
      </w:pPr>
      <w:r>
        <w:t xml:space="preserve">142 Vali-e-Asr Street, 4th Floor, Unit 12, Tehran, Iran | Phone: +98-21-8876-5432</w:t>
      </w:r>
    </w:p>
    <w:p>
      <w:pPr>
        <w:pStyle w:val="BodyText"/>
      </w:pPr>
      <w:r>
        <w:t xml:space="preserve">Registered with the Iran Tehran Chamber of Commerce, Industry, Mines and Agriculture – License No. 4521-8876</w:t>
      </w:r>
    </w:p>
    <w:p>
      <w:pPr>
        <w:pStyle w:val="BodyText"/>
      </w:pPr>
      <w:r>
        <w:t xml:space="preserve">This Invoice was generated electronically and is valid without a physical signature. For verification, contact the Auditor office in Iran Tehran.</w:t>
      </w:r>
    </w:p>
    <w:p>
      <w:pPr>
        <w:pStyle w:val="BodyText"/>
      </w:pPr>
      <w:r>
        <w:t xml:space="preserve">© 1404 Persian Audit &amp; Assurance Group. All rights reserved. This document constitutes a legally binding Invoice under Iranian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Iran Tehran</dc:title>
  <dc:creator/>
  <dc:language>en</dc:language>
  <cp:keywords/>
  <dcterms:created xsi:type="dcterms:W3CDTF">2026-10-10T03:36:54Z</dcterms:created>
  <dcterms:modified xsi:type="dcterms:W3CDTF">2026-10-10T03:36:54Z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