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levi-associates-audit-firm"/>
    <w:p>
      <w:pPr>
        <w:pStyle w:val="Heading1"/>
      </w:pPr>
      <w:r>
        <w:t xml:space="preserve">Levi &amp; Associates Audit Firm</w:t>
      </w:r>
    </w:p>
    <w:p>
      <w:pPr>
        <w:pStyle w:val="FirstParagraph"/>
      </w:pPr>
      <w:r>
        <w:t xml:space="preserve">12 King George Street, Jerusalem 9100000, Israel</w:t>
      </w:r>
    </w:p>
    <w:p>
      <w:pPr>
        <w:pStyle w:val="BodyText"/>
      </w:pPr>
      <w:r>
        <w:t xml:space="preserve">Phone: +972-2-625-4400 | Fax: +972-2-625-4401</w:t>
      </w:r>
    </w:p>
    <w:p>
      <w:pPr>
        <w:pStyle w:val="BodyText"/>
      </w:pPr>
      <w:r>
        <w:t xml:space="preserve">Email: billing@leviaudit.co.il</w:t>
      </w:r>
    </w:p>
    <w:p>
      <w:pPr>
        <w:pStyle w:val="BodyText"/>
      </w:pPr>
      <w:r>
        <w:t xml:space="preserve">VAT No. (Mazal): 51-804-332-19</w:t>
      </w:r>
    </w:p>
    <w:p>
      <w:pPr>
        <w:pStyle w:val="BodyText"/>
      </w:pPr>
      <w:r>
        <w:t xml:space="preserve">License No. 114522 – Israel Institute of Certified Public Accountants (ICPA)</w:t>
      </w:r>
    </w:p>
    <w:bookmarkEnd w:id="20"/>
    <w:p>
      <w:pPr>
        <w:pStyle w:val="BodyText"/>
      </w:pPr>
      <w:r>
        <w:t xml:space="preserve">Official Invoice</w:t>
      </w:r>
    </w:p>
    <w:bookmarkStart w:id="21" w:name="invoice"/>
    <w:p>
      <w:pPr>
        <w:pStyle w:val="Heading2"/>
      </w:pPr>
      <w:r>
        <w:t xml:space="preserve">INVOICE</w:t>
      </w:r>
    </w:p>
    <w:p>
      <w:pPr>
        <w:pStyle w:val="FirstParagraph"/>
      </w:pPr>
      <w:r>
        <w:t xml:space="preserve">Invoice No.: INV-2025-JER-04871</w:t>
      </w:r>
    </w:p>
    <w:p>
      <w:pPr>
        <w:pStyle w:val="BodyText"/>
      </w:pPr>
      <w:r>
        <w:t xml:space="preserve">Date of Issue: 15 June 2025</w:t>
      </w:r>
    </w:p>
    <w:p>
      <w:pPr>
        <w:pStyle w:val="BodyText"/>
      </w:pPr>
      <w:r>
        <w:t xml:space="preserve">Due Date: 15 July 2025</w:t>
      </w:r>
    </w:p>
    <w:bookmarkEnd w:id="21"/>
    <w:p>
      <w:pPr>
        <w:pStyle w:val="BodyText"/>
      </w:pPr>
      <w:r>
        <w:rPr>
          <w:bCs/>
          <w:b/>
        </w:rPr>
        <w:t xml:space="preserve">Billed To:</w:t>
      </w:r>
      <w:r>
        <w:br/>
      </w:r>
      <w:r>
        <w:t xml:space="preserve">Merav Holdings Ltd.</w:t>
      </w:r>
      <w:r>
        <w:br/>
      </w:r>
      <w:r>
        <w:t xml:space="preserve">45 Ben Yehuda Street, Jerusalem 9450000, Israel</w:t>
      </w:r>
      <w:r>
        <w:br/>
      </w:r>
      <w:r>
        <w:t xml:space="preserve">VAT No. (Mazal): 51-772-901-44</w:t>
      </w:r>
      <w:r>
        <w:br/>
      </w:r>
      <w:r>
        <w:t xml:space="preserve">Contact: Mr. David Merav, CFO</w:t>
      </w:r>
      <w:r>
        <w:br/>
      </w:r>
      <w:r>
        <w:t xml:space="preserve">Email: d.merav@meravholdings.co.il</w:t>
      </w:r>
    </w:p>
    <w:p>
      <w:pPr>
        <w:pStyle w:val="BodyText"/>
      </w:pPr>
      <w:r>
        <w:rPr>
          <w:bCs/>
          <w:b/>
        </w:rPr>
        <w:t xml:space="preserve">Prepared By:</w:t>
      </w:r>
      <w:r>
        <w:br/>
      </w:r>
      <w:r>
        <w:t xml:space="preserve">Auditor: Yael Ben-Shimon, CPA</w:t>
      </w:r>
      <w:r>
        <w:br/>
      </w:r>
      <w:r>
        <w:t xml:space="preserve">Senior Auditor, Levi &amp; Associates</w:t>
      </w:r>
      <w:r>
        <w:br/>
      </w:r>
      <w:r>
        <w:t xml:space="preserve">ICPA Member No. 44821</w:t>
      </w:r>
      <w:r>
        <w:br/>
      </w:r>
      <w:r>
        <w:t xml:space="preserve">Jerusalem Office, Israel</w:t>
      </w:r>
    </w:p>
    <w:bookmarkStart w:id="22" w:name="description-of-audit-services-rendered"/>
    <w:p>
      <w:pPr>
        <w:pStyle w:val="Heading3"/>
      </w:pPr>
      <w:r>
        <w:t xml:space="preserve">Description of Audit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 (NIS)</w:t>
            </w:r>
          </w:p>
        </w:tc>
        <w:tc>
          <w:tcPr/>
          <w:p>
            <w:pPr>
              <w:pStyle w:val="Compact"/>
              <w:jc w:val="left"/>
            </w:pPr>
            <w:r>
              <w:t xml:space="preserve">Amount (NIS)</w:t>
            </w:r>
          </w:p>
        </w:tc>
        <w:tc>
          <w:tcPr/>
          <w:p>
            <w:pPr>
              <w:pStyle w:val="Compact"/>
              <w:jc w:val="left"/>
            </w:pPr>
            <w:r>
              <w:t xml:space="preserve">VAT 18%</w:t>
            </w:r>
          </w:p>
        </w:tc>
      </w:tr>
      <w:tr>
        <w:tc>
          <w:tcPr/>
          <w:p>
            <w:pPr>
              <w:pStyle w:val="Compact"/>
              <w:jc w:val="left"/>
            </w:pPr>
            <w:r>
              <w:t xml:space="preserve">01</w:t>
            </w:r>
          </w:p>
        </w:tc>
        <w:tc>
          <w:tcPr/>
          <w:p>
            <w:pPr>
              <w:pStyle w:val="Compact"/>
              <w:jc w:val="left"/>
            </w:pPr>
            <w:r>
              <w:t xml:space="preserve">Annual Financial Audit – Fiscal Year 2024. Comprehensive examination of financial statements, balance sheet, income statement, and cash flow report in accordance with Israeli Generally Accepted Accounting Principles (GAAP) and International Standards on Auditing (ISA) as adopted by the Israel Institute of Certified Public Accountants.</w:t>
            </w:r>
          </w:p>
        </w:tc>
        <w:tc>
          <w:tcPr/>
          <w:p>
            <w:pPr>
              <w:pStyle w:val="Compact"/>
              <w:jc w:val="left"/>
            </w:pPr>
            <w:r>
              <w:t xml:space="preserve">120</w:t>
            </w:r>
          </w:p>
        </w:tc>
        <w:tc>
          <w:tcPr/>
          <w:p>
            <w:pPr>
              <w:pStyle w:val="Compact"/>
              <w:jc w:val="left"/>
            </w:pPr>
            <w:r>
              <w:t xml:space="preserve">1,850.00</w:t>
            </w:r>
          </w:p>
        </w:tc>
        <w:tc>
          <w:tcPr/>
          <w:p>
            <w:pPr>
              <w:pStyle w:val="Compact"/>
              <w:jc w:val="left"/>
            </w:pPr>
            <w:r>
              <w:t xml:space="preserve">222,000.00</w:t>
            </w:r>
          </w:p>
        </w:tc>
        <w:tc>
          <w:tcPr/>
          <w:p>
            <w:pPr>
              <w:pStyle w:val="Compact"/>
              <w:jc w:val="left"/>
            </w:pPr>
            <w:r>
              <w:t xml:space="preserve">39,960.00</w:t>
            </w:r>
          </w:p>
        </w:tc>
      </w:tr>
      <w:tr>
        <w:tc>
          <w:tcPr/>
          <w:p>
            <w:pPr>
              <w:pStyle w:val="Compact"/>
              <w:jc w:val="left"/>
            </w:pPr>
            <w:r>
              <w:t xml:space="preserve">02</w:t>
            </w:r>
          </w:p>
        </w:tc>
        <w:tc>
          <w:tcPr/>
          <w:p>
            <w:pPr>
              <w:pStyle w:val="Compact"/>
              <w:jc w:val="left"/>
            </w:pPr>
            <w:r>
              <w:t xml:space="preserve">Internal Controls Assessment and Compliance Review. The Auditor conducted a thorough evaluation of internal control mechanisms, segregation of duties, and regulatory compliance with the Israeli Companies Law, 5759-1999, and the Capital Markets Law, 5728-1968, as applicable to entities registered in Israel Jerusalem.</w:t>
            </w:r>
          </w:p>
        </w:tc>
        <w:tc>
          <w:tcPr/>
          <w:p>
            <w:pPr>
              <w:pStyle w:val="Compact"/>
              <w:jc w:val="left"/>
            </w:pPr>
            <w:r>
              <w:t xml:space="preserve">45</w:t>
            </w:r>
          </w:p>
        </w:tc>
        <w:tc>
          <w:tcPr/>
          <w:p>
            <w:pPr>
              <w:pStyle w:val="Compact"/>
              <w:jc w:val="left"/>
            </w:pPr>
            <w:r>
              <w:t xml:space="preserve">1,850.00</w:t>
            </w:r>
          </w:p>
        </w:tc>
        <w:tc>
          <w:tcPr/>
          <w:p>
            <w:pPr>
              <w:pStyle w:val="Compact"/>
              <w:jc w:val="left"/>
            </w:pPr>
            <w:r>
              <w:t xml:space="preserve">83,250.00</w:t>
            </w:r>
          </w:p>
        </w:tc>
        <w:tc>
          <w:tcPr/>
          <w:p>
            <w:pPr>
              <w:pStyle w:val="Compact"/>
              <w:jc w:val="left"/>
            </w:pPr>
            <w:r>
              <w:t xml:space="preserve">14,985.00</w:t>
            </w:r>
          </w:p>
        </w:tc>
      </w:tr>
      <w:tr>
        <w:tc>
          <w:tcPr/>
          <w:p>
            <w:pPr>
              <w:pStyle w:val="Compact"/>
              <w:jc w:val="left"/>
            </w:pPr>
            <w:r>
              <w:t xml:space="preserve">03</w:t>
            </w:r>
          </w:p>
        </w:tc>
        <w:tc>
          <w:tcPr/>
          <w:p>
            <w:pPr>
              <w:pStyle w:val="Compact"/>
              <w:jc w:val="left"/>
            </w:pPr>
            <w:r>
              <w:t xml:space="preserve">Tax Compliance Audit and Transfer Pricing Documentation. Review of corporate tax filings, VAT (Mazal) declarations, and transfer pricing arrangements in compliance with the Israeli Income Tax Ordinance and the regulations issued by the Israel Tax Authority (Mishebet HaMas Hechshari).</w:t>
            </w:r>
          </w:p>
        </w:tc>
        <w:tc>
          <w:tcPr/>
          <w:p>
            <w:pPr>
              <w:pStyle w:val="Compact"/>
              <w:jc w:val="left"/>
            </w:pPr>
            <w:r>
              <w:t xml:space="preserve">30</w:t>
            </w:r>
          </w:p>
        </w:tc>
        <w:tc>
          <w:tcPr/>
          <w:p>
            <w:pPr>
              <w:pStyle w:val="Compact"/>
              <w:jc w:val="left"/>
            </w:pPr>
            <w:r>
              <w:t xml:space="preserve">1,850.00</w:t>
            </w:r>
          </w:p>
        </w:tc>
        <w:tc>
          <w:tcPr/>
          <w:p>
            <w:pPr>
              <w:pStyle w:val="Compact"/>
              <w:jc w:val="left"/>
            </w:pPr>
            <w:r>
              <w:t xml:space="preserve">55,500.00</w:t>
            </w:r>
          </w:p>
        </w:tc>
        <w:tc>
          <w:tcPr/>
          <w:p>
            <w:pPr>
              <w:pStyle w:val="Compact"/>
              <w:jc w:val="left"/>
            </w:pPr>
            <w:r>
              <w:t xml:space="preserve">9,990.00</w:t>
            </w:r>
          </w:p>
        </w:tc>
      </w:tr>
      <w:tr>
        <w:tc>
          <w:tcPr/>
          <w:p>
            <w:pPr>
              <w:pStyle w:val="Compact"/>
              <w:jc w:val="left"/>
            </w:pPr>
            <w:r>
              <w:t xml:space="preserve">04</w:t>
            </w:r>
          </w:p>
        </w:tc>
        <w:tc>
          <w:tcPr/>
          <w:p>
            <w:pPr>
              <w:pStyle w:val="Compact"/>
              <w:jc w:val="left"/>
            </w:pPr>
            <w:r>
              <w:t xml:space="preserve">On-Site Inspection and Fieldwork at Client Premises, Jerusalem. Physical verification of assets, inventory counts, confirmation of receivables and payables, and interviews with management personnel at the client's headquarters located in Israel Jerusalem.</w:t>
            </w:r>
          </w:p>
        </w:tc>
        <w:tc>
          <w:tcPr/>
          <w:p>
            <w:pPr>
              <w:pStyle w:val="Compact"/>
              <w:jc w:val="left"/>
            </w:pPr>
            <w:r>
              <w:t xml:space="preserve">25</w:t>
            </w:r>
          </w:p>
        </w:tc>
        <w:tc>
          <w:tcPr/>
          <w:p>
            <w:pPr>
              <w:pStyle w:val="Compact"/>
              <w:jc w:val="left"/>
            </w:pPr>
            <w:r>
              <w:t xml:space="preserve">1,850.00</w:t>
            </w:r>
          </w:p>
        </w:tc>
        <w:tc>
          <w:tcPr/>
          <w:p>
            <w:pPr>
              <w:pStyle w:val="Compact"/>
              <w:jc w:val="left"/>
            </w:pPr>
            <w:r>
              <w:t xml:space="preserve">46,250.00</w:t>
            </w:r>
          </w:p>
        </w:tc>
        <w:tc>
          <w:tcPr/>
          <w:p>
            <w:pPr>
              <w:pStyle w:val="Compact"/>
              <w:jc w:val="left"/>
            </w:pPr>
            <w:r>
              <w:t xml:space="preserve">8,325.00</w:t>
            </w:r>
          </w:p>
        </w:tc>
      </w:tr>
      <w:tr>
        <w:tc>
          <w:tcPr/>
          <w:p>
            <w:pPr>
              <w:pStyle w:val="Compact"/>
              <w:jc w:val="left"/>
            </w:pPr>
            <w:r>
              <w:t xml:space="preserve">05</w:t>
            </w:r>
          </w:p>
        </w:tc>
        <w:tc>
          <w:tcPr/>
          <w:p>
            <w:pPr>
              <w:pStyle w:val="Compact"/>
              <w:jc w:val="left"/>
            </w:pPr>
            <w:r>
              <w:t xml:space="preserve">Audit Report Preparation, Management Letter, and Final Presentation. Drafting of the Auditor's opinion letter, identification of material misstatements, recommendations for remediation, and formal presentation of findings to the Board of Directors and the Audit Committee of Merav Holdings Ltd.</w:t>
            </w:r>
          </w:p>
        </w:tc>
        <w:tc>
          <w:tcPr/>
          <w:p>
            <w:pPr>
              <w:pStyle w:val="Compact"/>
              <w:jc w:val="left"/>
            </w:pPr>
            <w:r>
              <w:t xml:space="preserve">20</w:t>
            </w:r>
          </w:p>
        </w:tc>
        <w:tc>
          <w:tcPr/>
          <w:p>
            <w:pPr>
              <w:pStyle w:val="Compact"/>
              <w:jc w:val="left"/>
            </w:pPr>
            <w:r>
              <w:t xml:space="preserve">1,850.00</w:t>
            </w:r>
          </w:p>
        </w:tc>
        <w:tc>
          <w:tcPr/>
          <w:p>
            <w:pPr>
              <w:pStyle w:val="Compact"/>
              <w:jc w:val="left"/>
            </w:pPr>
            <w:r>
              <w:t xml:space="preserve">37,000.00</w:t>
            </w:r>
          </w:p>
        </w:tc>
        <w:tc>
          <w:tcPr/>
          <w:p>
            <w:pPr>
              <w:pStyle w:val="Compact"/>
              <w:jc w:val="left"/>
            </w:pPr>
            <w:r>
              <w:t xml:space="preserve">6,660.00</w:t>
            </w:r>
          </w:p>
        </w:tc>
      </w:tr>
    </w:tbl>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Summary</w:t>
            </w:r>
          </w:p>
        </w:tc>
        <w:tc>
          <w:tcPr/>
          <w:p>
            <w:pPr>
              <w:pStyle w:val="Compact"/>
              <w:jc w:val="right"/>
            </w:pPr>
            <w:r>
              <w:t xml:space="preserve">Amount (NIS)</w:t>
            </w:r>
          </w:p>
        </w:tc>
      </w:tr>
      <w:tr>
        <w:tc>
          <w:tcPr/>
          <w:p>
            <w:pPr>
              <w:pStyle w:val="Compact"/>
              <w:jc w:val="left"/>
            </w:pPr>
            <w:r>
              <w:t xml:space="preserve">Subtotal (Excl. VAT)</w:t>
            </w:r>
          </w:p>
        </w:tc>
        <w:tc>
          <w:tcPr/>
          <w:p>
            <w:pPr>
              <w:pStyle w:val="Compact"/>
              <w:jc w:val="right"/>
            </w:pPr>
            <w:r>
              <w:t xml:space="preserve">444,000.00</w:t>
            </w:r>
          </w:p>
        </w:tc>
      </w:tr>
      <w:tr>
        <w:tc>
          <w:tcPr/>
          <w:p>
            <w:pPr>
              <w:pStyle w:val="Compact"/>
              <w:jc w:val="left"/>
            </w:pPr>
            <w:r>
              <w:t xml:space="preserve">VAT @ 18% (Mazal)</w:t>
            </w:r>
          </w:p>
        </w:tc>
        <w:tc>
          <w:tcPr/>
          <w:p>
            <w:pPr>
              <w:pStyle w:val="Compact"/>
              <w:jc w:val="right"/>
            </w:pPr>
            <w:r>
              <w:t xml:space="preserve">79,920.00</w:t>
            </w:r>
          </w:p>
        </w:tc>
      </w:tr>
      <w:tr>
        <w:tc>
          <w:tcPr/>
          <w:p>
            <w:pPr>
              <w:pStyle w:val="Compact"/>
              <w:jc w:val="left"/>
            </w:pPr>
            <w:r>
              <w:t xml:space="preserve">Discount / Credit Note</w:t>
            </w:r>
          </w:p>
        </w:tc>
        <w:tc>
          <w:tcPr/>
          <w:p>
            <w:pPr>
              <w:pStyle w:val="Compact"/>
              <w:jc w:val="right"/>
            </w:pPr>
            <w:r>
              <w:t xml:space="preserve">(0.00)</w:t>
            </w:r>
          </w:p>
        </w:tc>
      </w:tr>
      <w:tr>
        <w:tc>
          <w:tcPr/>
          <w:p>
            <w:pPr>
              <w:pStyle w:val="Compact"/>
              <w:jc w:val="left"/>
            </w:pPr>
            <w:r>
              <w:t xml:space="preserve">Grand Total Due</w:t>
            </w:r>
          </w:p>
        </w:tc>
        <w:tc>
          <w:tcPr/>
          <w:p>
            <w:pPr>
              <w:pStyle w:val="Compact"/>
              <w:jc w:val="right"/>
            </w:pPr>
            <w:r>
              <w:t xml:space="preserve">523,920.00</w:t>
            </w:r>
          </w:p>
        </w:tc>
      </w:tr>
    </w:tbl>
    <w:bookmarkEnd w:id="22"/>
    <w:bookmarkStart w:id="23" w:name="payment-terms-and-notes"/>
    <w:p>
      <w:pPr>
        <w:pStyle w:val="Heading3"/>
      </w:pPr>
      <w:r>
        <w:t xml:space="preserve">Payment Terms and Notes</w:t>
      </w:r>
    </w:p>
    <w:p>
      <w:pPr>
        <w:pStyle w:val="FirstParagraph"/>
      </w:pPr>
      <w:r>
        <w:rPr>
          <w:bCs/>
          <w:b/>
        </w:rPr>
        <w:t xml:space="preserve">Payment Method:</w:t>
      </w:r>
      <w:r>
        <w:t xml:space="preserve"> </w:t>
      </w:r>
      <w:r>
        <w:t xml:space="preserve">Bank transfer to the following account. Please reference Invoice No. INV-2025-JER-04871 in your remittance.</w:t>
      </w:r>
    </w:p>
    <w:p>
      <w:pPr>
        <w:pStyle w:val="BodyText"/>
      </w:pPr>
      <w:r>
        <w:rPr>
          <w:bCs/>
          <w:b/>
        </w:rPr>
        <w:t xml:space="preserve">Bank:</w:t>
      </w:r>
      <w:r>
        <w:t xml:space="preserve"> </w:t>
      </w:r>
      <w:r>
        <w:t xml:space="preserve">Bank Leumi, Jerusalem Branch, Israel</w:t>
      </w:r>
    </w:p>
    <w:p>
      <w:pPr>
        <w:pStyle w:val="BodyText"/>
      </w:pPr>
      <w:r>
        <w:rPr>
          <w:bCs/>
          <w:b/>
        </w:rPr>
        <w:t xml:space="preserve">Account Name:</w:t>
      </w:r>
      <w:r>
        <w:t xml:space="preserve"> </w:t>
      </w:r>
      <w:r>
        <w:t xml:space="preserve">Levi &amp; Associates Audit Firm Ltd.</w:t>
      </w:r>
    </w:p>
    <w:p>
      <w:pPr>
        <w:pStyle w:val="BodyText"/>
      </w:pPr>
      <w:r>
        <w:rPr>
          <w:bCs/>
          <w:b/>
        </w:rPr>
        <w:t xml:space="preserve">Account No. (Chesav):</w:t>
      </w:r>
      <w:r>
        <w:t xml:space="preserve"> </w:t>
      </w:r>
      <w:r>
        <w:t xml:space="preserve">001-123456-7</w:t>
      </w:r>
    </w:p>
    <w:p>
      <w:pPr>
        <w:pStyle w:val="BodyText"/>
      </w:pPr>
      <w:r>
        <w:rPr>
          <w:bCs/>
          <w:b/>
        </w:rPr>
        <w:t xml:space="preserve">IBAN:</w:t>
      </w:r>
      <w:r>
        <w:t xml:space="preserve"> </w:t>
      </w:r>
      <w:r>
        <w:t xml:space="preserve">IL16 0121 2000 0000 0123 4567</w:t>
      </w:r>
    </w:p>
    <w:p>
      <w:pPr>
        <w:pStyle w:val="BodyText"/>
      </w:pPr>
      <w:r>
        <w:rPr>
          <w:bCs/>
          <w:b/>
        </w:rPr>
        <w:t xml:space="preserve">SWIFT/BIC:</w:t>
      </w:r>
      <w:r>
        <w:t xml:space="preserve"> </w:t>
      </w:r>
      <w:r>
        <w:t xml:space="preserve">LUMIILTL</w:t>
      </w:r>
    </w:p>
    <w:p>
      <w:pPr>
        <w:pStyle w:val="BodyText"/>
      </w:pPr>
      <w:r>
        <w:rPr>
          <w:bCs/>
          <w:b/>
        </w:rPr>
        <w:t xml:space="preserve">Due Date:</w:t>
      </w:r>
      <w:r>
        <w:t xml:space="preserve"> </w:t>
      </w:r>
      <w:r>
        <w:t xml:space="preserve">15 July 2025 (30 days from date of issue). Late payments shall accrue interest at the rate prescribed under the Israeli Interest Law, 5739-1979, as amended.</w:t>
      </w:r>
    </w:p>
    <w:p>
      <w:pPr>
        <w:pStyle w:val="BodyText"/>
      </w:pPr>
      <w:r>
        <w:rPr>
          <w:bCs/>
          <w:b/>
        </w:rPr>
        <w:t xml:space="preserve">Important:</w:t>
      </w:r>
      <w:r>
        <w:t xml:space="preserve"> </w:t>
      </w:r>
      <w:r>
        <w:t xml:space="preserve">This Invoice constitutes a legally binding document under Israeli commercial law. The Auditor's services described herein were performed in full compliance with the Standards of the Israel Institute of Certified Public Accountants and the regulations of the Israeli Securities Authority (ISA) where applicable. All work was conducted at the Auditor's offices and the client's premises in Israel Jerusalem.</w:t>
      </w:r>
    </w:p>
    <w:bookmarkEnd w:id="23"/>
    <w:p>
      <w:pPr>
        <w:pStyle w:val="BodyText"/>
      </w:pPr>
      <w:r>
        <w:rPr>
          <w:bCs/>
          <w:b/>
        </w:rPr>
        <w:t xml:space="preserve">Legal Disclaimer:</w:t>
      </w:r>
      <w:r>
        <w:t xml:space="preserve"> </w:t>
      </w:r>
      <w:r>
        <w:t xml:space="preserve">This Invoice is issued in accordance with the Israeli Value Added Tax Law, 5736-1975, and the regulations of the Israel Tax Authority. The Auditor, Yael Ben-Shimon, CPA, and Levi &amp; Associates Audit Firm bear no liability for any consequential damages arising from the use of the audit findings beyond the scope defined in the engagement letter dated 01 January 2025. This document is governed by the laws of the State of Israel, and any disputes shall be subject to the exclusive jurisdiction of the courts of Israel Jerusalem.</w:t>
      </w:r>
    </w:p>
    <w:p>
      <w:pPr>
        <w:pStyle w:val="BodyText"/>
      </w:pPr>
      <w:r>
        <w:rPr>
          <w:bCs/>
          <w:b/>
        </w:rPr>
        <w:t xml:space="preserve">Confidentiality:</w:t>
      </w:r>
      <w:r>
        <w:t xml:space="preserve"> </w:t>
      </w:r>
      <w:r>
        <w:t xml:space="preserve">All information contained in this Invoice and the associated audit documentation is confidential and intended solely for the use of Merav Holdings Ltd. Unauthorized distribution, reproduction, or disclosure of this Invoice or its contents is strictly prohibited under the Israeli Privacy Protection Law, 5741-1981.</w:t>
      </w:r>
    </w:p>
    <w:p>
      <w:pPr>
        <w:pStyle w:val="BodyText"/>
      </w:pPr>
      <w:r>
        <w:rPr>
          <w:bCs/>
          <w:b/>
        </w:rPr>
        <w:t xml:space="preserve">Document Control:</w:t>
      </w:r>
      <w:r>
        <w:t xml:space="preserve"> </w:t>
      </w:r>
      <w:r>
        <w:t xml:space="preserve">This Invoice was generated electronically and is valid without a physical signature. A digital copy bearing the firm's electronic seal is equivalent to an original document under the Israeli Electronic Signature Law, 5761-2001.</w:t>
      </w:r>
    </w:p>
    <w:p>
      <w:pPr>
        <w:pStyle w:val="BodyText"/>
      </w:pPr>
      <w:r>
        <w:t xml:space="preserve">Levi &amp; Associates Audit Firm Ltd. | 12 King George Street, Jerusalem 9100000, Israel | VAT: 51-804-332-19</w:t>
      </w:r>
    </w:p>
    <w:p>
      <w:pPr>
        <w:pStyle w:val="BodyText"/>
      </w:pPr>
      <w:r>
        <w:t xml:space="preserve">Registered with the Israel Institute of Certified Public Accountants (ICPA) | License No. 114522</w:t>
      </w:r>
    </w:p>
    <w:p>
      <w:pPr>
        <w:pStyle w:val="BodyText"/>
      </w:pPr>
      <w:r>
        <w:t xml:space="preserve">Thank you for your business. We appreciate the opportunity to serve as your Auditor in Israel Jerusalem.</w:t>
      </w:r>
    </w:p>
    <w:p>
      <w:pPr>
        <w:pStyle w:val="BodyText"/>
      </w:pPr>
      <w:r>
        <w:t xml:space="preserve">© 2025 Levi &amp; Associates Audit Firm Ltd. All rights reserved. Invoice INV-2025-JER-04871.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Israel Jerusalem</dc:title>
  <dc:creator/>
  <dc:language>en</dc:language>
  <cp:keywords/>
  <dcterms:created xsi:type="dcterms:W3CDTF">2026-10-10T03:31:48Z</dcterms:created>
  <dcterms:modified xsi:type="dcterms:W3CDTF">2026-10-10T03:31:48Z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