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Professional Auditor Services — Fiscal Year 2024</w:t>
      </w:r>
    </w:p>
    <w:p>
      <w:pPr>
        <w:pStyle w:val="BodyText"/>
      </w:pPr>
      <w:r>
        <w:t xml:space="preserve">Fattura Professionale — Servizi di Revisione Contabile</w:t>
      </w:r>
    </w:p>
    <w:bookmarkEnd w:id="20"/>
    <w:bookmarkStart w:id="21" w:name="issued-by-auditor"/>
    <w:p>
      <w:pPr>
        <w:pStyle w:val="Heading3"/>
      </w:pPr>
      <w:r>
        <w:t xml:space="preserve">Issued By (Auditor)</w:t>
      </w:r>
    </w:p>
    <w:p>
      <w:pPr>
        <w:pStyle w:val="FirstParagraph"/>
      </w:pPr>
      <w:r>
        <w:rPr>
          <w:bCs/>
          <w:b/>
        </w:rPr>
        <w:t xml:space="preserve">Studio Revisione Contabile Roma S.r.l.</w:t>
      </w:r>
    </w:p>
    <w:p>
      <w:pPr>
        <w:pStyle w:val="BodyText"/>
      </w:pPr>
      <w:r>
        <w:t xml:space="preserve">Via del Corso 142, 00187 Roma (RM), Italy</w:t>
      </w:r>
    </w:p>
    <w:p>
      <w:pPr>
        <w:pStyle w:val="BodyText"/>
      </w:pPr>
      <w:r>
        <w:t xml:space="preserve">P.IVA: IT01234567890</w:t>
      </w:r>
    </w:p>
    <w:p>
      <w:pPr>
        <w:pStyle w:val="BodyText"/>
      </w:pPr>
      <w:r>
        <w:t xml:space="preserve">C.F.: 01234567890</w:t>
      </w:r>
    </w:p>
    <w:p>
      <w:pPr>
        <w:pStyle w:val="BodyText"/>
      </w:pPr>
      <w:r>
        <w:t xml:space="preserve">REA: RM-1234567</w:t>
      </w:r>
    </w:p>
    <w:p>
      <w:pPr>
        <w:pStyle w:val="BodyText"/>
      </w:pPr>
      <w:r>
        <w:t xml:space="preserve">Chamber of Commerce: Roma Capitale</w:t>
      </w:r>
    </w:p>
    <w:bookmarkEnd w:id="21"/>
    <w:bookmarkStart w:id="22" w:name="billed-to-client"/>
    <w:p>
      <w:pPr>
        <w:pStyle w:val="Heading3"/>
      </w:pPr>
      <w:r>
        <w:t xml:space="preserve">Billed To (Client)</w:t>
      </w:r>
    </w:p>
    <w:p>
      <w:pPr>
        <w:pStyle w:val="FirstParagraph"/>
      </w:pPr>
      <w:r>
        <w:rPr>
          <w:bCs/>
          <w:b/>
        </w:rPr>
        <w:t xml:space="preserve">Finanziaria Tiberina S.p.A.</w:t>
      </w:r>
    </w:p>
    <w:p>
      <w:pPr>
        <w:pStyle w:val="BodyText"/>
      </w:pPr>
      <w:r>
        <w:t xml:space="preserve">Via Nazionale 88, 00185 Roma (RM), Italy</w:t>
      </w:r>
    </w:p>
    <w:p>
      <w:pPr>
        <w:pStyle w:val="BodyText"/>
      </w:pPr>
      <w:r>
        <w:t xml:space="preserve">P.IVA: IT09876543210</w:t>
      </w:r>
    </w:p>
    <w:p>
      <w:pPr>
        <w:pStyle w:val="BodyText"/>
      </w:pPr>
      <w:r>
        <w:t xml:space="preserve">C.F.: 09876543210</w:t>
      </w:r>
    </w:p>
    <w:p>
      <w:pPr>
        <w:pStyle w:val="BodyText"/>
      </w:pPr>
      <w:r>
        <w:t xml:space="preserve">REA: RM-7654321</w:t>
      </w:r>
    </w:p>
    <w:p>
      <w:pPr>
        <w:pStyle w:val="BodyText"/>
      </w:pPr>
      <w:r>
        <w:t xml:space="preserve">Chamber of Commerce: Roma Capitale</w:t>
      </w:r>
    </w:p>
    <w:bookmarkEnd w:id="22"/>
    <w:p>
      <w:pPr>
        <w:pStyle w:val="BodyText"/>
      </w:pPr>
      <w:r>
        <w:rPr>
          <w:bCs/>
          <w:b/>
        </w:rPr>
        <w:t xml:space="preserve">Invoice Number:</w:t>
      </w:r>
      <w:r>
        <w:t xml:space="preserve"> </w:t>
      </w:r>
      <w:r>
        <w:t xml:space="preserve">FATT-2024-RM-0047</w:t>
      </w:r>
    </w:p>
    <w:p>
      <w:pPr>
        <w:pStyle w:val="BodyText"/>
      </w:pPr>
      <w:r>
        <w:rPr>
          <w:bCs/>
          <w:b/>
        </w:rPr>
        <w:t xml:space="preserve">Invoice Date:</w:t>
      </w:r>
      <w:r>
        <w:t xml:space="preserve"> </w:t>
      </w:r>
      <w:r>
        <w:t xml:space="preserve">15 June 2024</w:t>
      </w:r>
    </w:p>
    <w:p>
      <w:pPr>
        <w:pStyle w:val="BodyText"/>
      </w:pPr>
      <w:r>
        <w:rPr>
          <w:bCs/>
          <w:b/>
        </w:rPr>
        <w:t xml:space="preserve">Service Period:</w:t>
      </w:r>
      <w:r>
        <w:t xml:space="preserve"> </w:t>
      </w:r>
      <w:r>
        <w:t xml:space="preserve">1 January 2024 – 31 May 2024</w:t>
      </w:r>
    </w:p>
    <w:p>
      <w:pPr>
        <w:pStyle w:val="BodyText"/>
      </w:pPr>
      <w:r>
        <w:rPr>
          <w:bCs/>
          <w:b/>
        </w:rPr>
        <w:t xml:space="preserve">Due Date:</w:t>
      </w:r>
      <w:r>
        <w:t xml:space="preserve"> </w:t>
      </w:r>
      <w:r>
        <w:t xml:space="preserve">15 July 2024 (30 days from invoice date)</w:t>
      </w:r>
    </w:p>
    <w:p>
      <w:pPr>
        <w:pStyle w:val="BodyText"/>
      </w:pPr>
      <w:r>
        <w:rPr>
          <w:bCs/>
          <w:b/>
        </w:rPr>
        <w:t xml:space="preserve">Currency:</w:t>
      </w:r>
      <w:r>
        <w:t xml:space="preserve"> </w:t>
      </w:r>
      <w:r>
        <w:t xml:space="preserve">Euro (EUR)</w:t>
      </w:r>
    </w:p>
    <w:p>
      <w:pPr>
        <w:pStyle w:val="BodyText"/>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bookmarkStart w:id="25" w:name="description-of-auditor-services-rendered"/>
    <w:p>
      <w:pPr>
        <w:pStyle w:val="Heading2"/>
      </w:pPr>
      <w:r>
        <w:t xml:space="preserve">Description of Auditor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Statutory audit of annual financial statements in compliance with Italian Civil Code (Codice Civile, Art. 2409) and EU Audit Regulation (EU) No. 537/2014, conducted by the appointed Auditor at the client's headquarters in Rome, Italy.</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 assessment and risk-based audit planning for the fiscal year 2024, including review of accounting policies, segregation of duties, and compliance with Italian tax regulations administered by the Agenzia delle Entrate in Rome.</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Substantive testing of revenue, receivables, and cash flow transactions across all operational divisions located in the metropolitan area of Italy Rome, including site visits to the client's warehouses in the EUR district.</w:t>
            </w:r>
          </w:p>
        </w:tc>
        <w:tc>
          <w:tcPr/>
          <w:p>
            <w:pPr>
              <w:pStyle w:val="Compact"/>
              <w:jc w:val="left"/>
            </w:pPr>
            <w:r>
              <w:t xml:space="preserve">95</w:t>
            </w:r>
          </w:p>
        </w:tc>
        <w:tc>
          <w:tcPr/>
          <w:p>
            <w:pPr>
              <w:pStyle w:val="Compact"/>
              <w:jc w:val="left"/>
            </w:pPr>
            <w:r>
              <w:t xml:space="preserve">180.00</w:t>
            </w:r>
          </w:p>
        </w:tc>
        <w:tc>
          <w:tcPr/>
          <w:p>
            <w:pPr>
              <w:pStyle w:val="Compact"/>
              <w:jc w:val="left"/>
            </w:pPr>
            <w:r>
              <w:t xml:space="preserve">17,100.00</w:t>
            </w:r>
          </w:p>
        </w:tc>
      </w:tr>
      <w:tr>
        <w:tc>
          <w:tcPr/>
          <w:p>
            <w:pPr>
              <w:pStyle w:val="Compact"/>
              <w:jc w:val="left"/>
            </w:pPr>
            <w:r>
              <w:t xml:space="preserve">04</w:t>
            </w:r>
          </w:p>
        </w:tc>
        <w:tc>
          <w:tcPr/>
          <w:p>
            <w:pPr>
              <w:pStyle w:val="Compact"/>
              <w:jc w:val="left"/>
            </w:pPr>
            <w:r>
              <w:t xml:space="preserve">Review of related-party transactions and verification of compliance with Italian anti-money laundering directives (D.Lgs. 231/2007), as required by the Auditor's professional obligations under the Italian National Audit Council (Organismo Nazionale di Controllo).</w:t>
            </w:r>
          </w:p>
        </w:tc>
        <w:tc>
          <w:tcPr/>
          <w:p>
            <w:pPr>
              <w:pStyle w:val="Compact"/>
              <w:jc w:val="left"/>
            </w:pPr>
            <w:r>
              <w:t xml:space="preserve">45</w:t>
            </w:r>
          </w:p>
        </w:tc>
        <w:tc>
          <w:tcPr/>
          <w:p>
            <w:pPr>
              <w:pStyle w:val="Compact"/>
              <w:jc w:val="left"/>
            </w:pPr>
            <w:r>
              <w:t xml:space="preserve">195.00</w:t>
            </w:r>
          </w:p>
        </w:tc>
        <w:tc>
          <w:tcPr/>
          <w:p>
            <w:pPr>
              <w:pStyle w:val="Compact"/>
              <w:jc w:val="left"/>
            </w:pPr>
            <w:r>
              <w:t xml:space="preserve">8,775.00</w:t>
            </w:r>
          </w:p>
        </w:tc>
      </w:tr>
      <w:tr>
        <w:tc>
          <w:tcPr/>
          <w:p>
            <w:pPr>
              <w:pStyle w:val="Compact"/>
              <w:jc w:val="left"/>
            </w:pPr>
            <w:r>
              <w:t xml:space="preserve">05</w:t>
            </w:r>
          </w:p>
        </w:tc>
        <w:tc>
          <w:tcPr/>
          <w:p>
            <w:pPr>
              <w:pStyle w:val="Compact"/>
              <w:jc w:val="left"/>
            </w:pPr>
            <w:r>
              <w:t xml:space="preserve">Preparation and issuance of the independent Auditor's report (Relazione del Revisore) for submission to the shareholders' meeting, including management letter with recommendations for internal process improvements.</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Ad-hoc consultation on tax optimization strategies and VAT (IVA) compliance for cross-border transactions within the European Union, provided by the senior Auditor team based in Italy Rome.</w:t>
            </w:r>
          </w:p>
        </w:tc>
        <w:tc>
          <w:tcPr/>
          <w:p>
            <w:pPr>
              <w:pStyle w:val="Compact"/>
              <w:jc w:val="left"/>
            </w:pPr>
            <w:r>
              <w:t xml:space="preserve">25</w:t>
            </w:r>
          </w:p>
        </w:tc>
        <w:tc>
          <w:tcPr/>
          <w:p>
            <w:pPr>
              <w:pStyle w:val="Compact"/>
              <w:jc w:val="left"/>
            </w:pPr>
            <w:r>
              <w:t xml:space="preserve">210.00</w:t>
            </w:r>
          </w:p>
        </w:tc>
        <w:tc>
          <w:tcPr/>
          <w:p>
            <w:pPr>
              <w:pStyle w:val="Compact"/>
              <w:jc w:val="left"/>
            </w:pPr>
            <w:r>
              <w:t xml:space="preserve">5,250.00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 (Services)</w:t>
            </w:r>
          </w:p>
        </w:tc>
        <w:tc>
          <w:tcPr/>
          <w:p>
            <w:pPr>
              <w:pStyle w:val="Compact"/>
              <w:jc w:val="left"/>
            </w:pPr>
            <w:r>
              <w:t xml:space="preserve">73,325.00</w:t>
            </w:r>
          </w:p>
        </w:tc>
      </w:tr>
      <w:tr>
        <w:tc>
          <w:tcPr/>
          <w:p>
            <w:pPr>
              <w:pStyle w:val="Compact"/>
              <w:jc w:val="left"/>
            </w:pPr>
            <w:r>
              <w:t xml:space="preserve">VAT / IVA (22%)</w:t>
            </w:r>
          </w:p>
        </w:tc>
        <w:tc>
          <w:tcPr/>
          <w:p>
            <w:pPr>
              <w:pStyle w:val="Compact"/>
              <w:jc w:val="left"/>
            </w:pPr>
            <w:r>
              <w:t xml:space="preserve">16,131.50</w:t>
            </w:r>
          </w:p>
        </w:tc>
      </w:tr>
      <w:tr>
        <w:tc>
          <w:tcPr/>
          <w:p>
            <w:pPr>
              <w:pStyle w:val="Compact"/>
              <w:jc w:val="left"/>
            </w:pPr>
            <w:r>
              <w:t xml:space="preserve">Grand Total (Totale)</w:t>
            </w:r>
          </w:p>
        </w:tc>
        <w:tc>
          <w:tcPr/>
          <w:p>
            <w:pPr>
              <w:pStyle w:val="Compact"/>
              <w:jc w:val="left"/>
            </w:pPr>
            <w:r>
              <w:t xml:space="preserve">89,456.50</w:t>
            </w:r>
          </w:p>
        </w:tc>
      </w:tr>
    </w:tbl>
    <w:bookmarkStart w:id="23" w:name="payment-terms-notes"/>
    <w:p>
      <w:pPr>
        <w:pStyle w:val="Heading3"/>
      </w:pPr>
      <w:r>
        <w:t xml:space="preserve">Payment Terms &amp; Notes</w:t>
      </w:r>
    </w:p>
    <w:p>
      <w:pPr>
        <w:numPr>
          <w:ilvl w:val="0"/>
          <w:numId w:val="1001"/>
        </w:numPr>
        <w:pStyle w:val="Compact"/>
      </w:pPr>
      <w:r>
        <w:t xml:space="preserve">This Invoice must be settled in full within thirty (30) calendar days from the date of issuance via bank transfer to the IBAN specified above. Late payments shall accrue interest at the rate established by the European Central Bank plus eight percentage points, in accordance with Italian Legislative Decree 231/2002.</w:t>
      </w:r>
    </w:p>
    <w:p>
      <w:pPr>
        <w:numPr>
          <w:ilvl w:val="0"/>
          <w:numId w:val="1001"/>
        </w:numPr>
        <w:pStyle w:val="Compact"/>
      </w:pPr>
      <w:r>
        <w:t xml:space="preserve">The Auditor services described in this Invoice have been performed in strict compliance with the International Standards on Auditing (ISA) as adopted in Italy, and the professional code of ethics issued by the Italian National Audit Council (Organismo Nazionale di Controllo).</w:t>
      </w:r>
    </w:p>
    <w:p>
      <w:pPr>
        <w:numPr>
          <w:ilvl w:val="0"/>
          <w:numId w:val="1001"/>
        </w:numPr>
        <w:pStyle w:val="Compact"/>
      </w:pPr>
      <w:r>
        <w:t xml:space="preserve">All work related to this Invoice was conducted at the Auditor's office located in the historic center of Italy Rome, as well as at the client's premises in the EUR district. Travel and accommodation expenses within the Rome metropolitan area are included in the hourly rates.</w:t>
      </w:r>
    </w:p>
    <w:p>
      <w:pPr>
        <w:numPr>
          <w:ilvl w:val="0"/>
          <w:numId w:val="1001"/>
        </w:numPr>
        <w:pStyle w:val="Compact"/>
      </w:pPr>
      <w:r>
        <w:t xml:space="preserve">Should any dispute arise regarding the scope or quality of the Auditor services rendered, both parties agree to submit the matter to the competent commercial court of Rome (Tribunale di Roma) as the exclusive jurisdictional venue.</w:t>
      </w:r>
    </w:p>
    <w:p>
      <w:pPr>
        <w:numPr>
          <w:ilvl w:val="0"/>
          <w:numId w:val="1001"/>
        </w:numPr>
        <w:pStyle w:val="Compact"/>
      </w:pPr>
      <w:r>
        <w:t xml:space="preserve">This Invoice is issued in accordance with the Italian electronic invoicing system (Sistema di Interscambio — SdI) and the provisions of D.Lgs. 127/2015. The electronic version of this document constitutes the legally valid original.</w:t>
      </w:r>
    </w:p>
    <w:bookmarkEnd w:id="23"/>
    <w:bookmarkStart w:id="24" w:name="legal-regulatory-compliance-statement"/>
    <w:p>
      <w:pPr>
        <w:pStyle w:val="Heading3"/>
      </w:pPr>
      <w:r>
        <w:t xml:space="preserve">Legal &amp; Regulatory Compliance Statement</w:t>
      </w:r>
    </w:p>
    <w:p>
      <w:pPr>
        <w:pStyle w:val="FirstParagraph"/>
      </w:pPr>
      <w:r>
        <w:t xml:space="preserve">This Invoice is issued by Studio Revisione Contabile Roma S.r.l., a registered professional firm operating as an independent Auditor in Italy Rome. The firm is registered with the Italian National Audit Council (Organismo Nazionale di Controllo) under registration number ONC-2019-0047 and holds a valid professional liability insurance policy with a minimum coverage of EUR 1,000,000 per claim, as mandated by Italian law (D.Lgs. 39/2010).</w:t>
      </w:r>
    </w:p>
    <w:p>
      <w:pPr>
        <w:pStyle w:val="BodyText"/>
      </w:pPr>
      <w:r>
        <w:t xml:space="preserve">The Auditor services detailed herein were performed with full independence, objectivity, and professional skepticism in accordance with the Italian Civil Code, the Italian Companies Act, and the applicable European Union directives governing statutory audit. The Auditor confirms that no conflict of interest exists between the firm and the client for the period covered by this Invoice.</w:t>
      </w:r>
    </w:p>
    <w:p>
      <w:pPr>
        <w:pStyle w:val="BodyText"/>
      </w:pPr>
      <w:r>
        <w:t xml:space="preserve">By accepting this Invoice, the client acknowledges receipt of the Auditor's report and management letter, and agrees to the terms and conditions set forth in the original engagement letter dated 1 December 2023, reference number ENG-2023-RM-0112, which is incorporated herein by reference.</w:t>
      </w:r>
    </w:p>
    <w:bookmarkEnd w:id="24"/>
    <w:p>
      <w:pPr>
        <w:pStyle w:val="BodyText"/>
      </w:pPr>
      <w:r>
        <w:t xml:space="preserve">Auditor's Signature &amp; Seal</w:t>
      </w:r>
    </w:p>
    <w:p>
      <w:pPr>
        <w:pStyle w:val="BodyText"/>
      </w:pPr>
      <w:r>
        <w:t xml:space="preserve">Client's Acknowledgment</w:t>
      </w:r>
    </w:p>
    <w:p>
      <w:pPr>
        <w:pStyle w:val="BodyText"/>
      </w:pPr>
      <w:r>
        <w:t xml:space="preserve">Studio Revisione Contabile Roma S.r.l. — Via del Corso 142, 00187 Roma (RM), Italy</w:t>
      </w:r>
    </w:p>
    <w:p>
      <w:pPr>
        <w:pStyle w:val="BodyText"/>
      </w:pPr>
      <w:r>
        <w:t xml:space="preserve">Tel: +39 06 1234 5678 | Email: info@studiorevisioneroma.it | PEC: studiorevisioneroma@pec.it</w:t>
      </w:r>
    </w:p>
    <w:p>
      <w:pPr>
        <w:pStyle w:val="BodyText"/>
      </w:pPr>
      <w:r>
        <w:t xml:space="preserve">This Invoice was generated electronically on 15 June 2024. Document ID: FATT-2024-RM-0047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Italy Rome</dc:title>
  <dc:creator/>
  <dc:language>en</dc:language>
  <cp:keywords/>
  <dcterms:created xsi:type="dcterms:W3CDTF">2026-10-10T03:38:25Z</dcterms:created>
  <dcterms:modified xsi:type="dcterms:W3CDTF">2026-10-10T03:38:25Z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