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safir-audit-conseil"/>
    <w:p>
      <w:pPr>
        <w:pStyle w:val="Heading1"/>
      </w:pPr>
      <w:r>
        <w:t xml:space="preserve">SAFIR AUDIT &amp; CONSEIL</w:t>
      </w:r>
    </w:p>
    <w:p>
      <w:pPr>
        <w:pStyle w:val="FirstParagraph"/>
      </w:pPr>
      <w:r>
        <w:t xml:space="preserve">Cabinet d'Audit et de Conseil en Gestion</w:t>
      </w:r>
    </w:p>
    <w:p>
      <w:pPr>
        <w:pStyle w:val="BodyText"/>
      </w:pPr>
      <w:r>
        <w:t xml:space="preserve">Immeuble Le Phare, 4ème Étage</w:t>
      </w:r>
    </w:p>
    <w:p>
      <w:pPr>
        <w:pStyle w:val="BodyText"/>
      </w:pPr>
      <w:r>
        <w:t xml:space="preserve">Boulevard de Vridi, Cocody</w:t>
      </w:r>
    </w:p>
    <w:p>
      <w:pPr>
        <w:pStyle w:val="BodyText"/>
      </w:pPr>
      <w:r>
        <w:t xml:space="preserve">Abidjan, Côte d'Ivoire (Ivory Coast)</w:t>
      </w:r>
    </w:p>
    <w:p>
      <w:pPr>
        <w:pStyle w:val="BodyText"/>
      </w:pPr>
      <w:r>
        <w:t xml:space="preserve">Tel: +225 27 22 45 67 89 | Email: contact@safir-audit.ci</w:t>
      </w:r>
    </w:p>
    <w:p>
      <w:pPr>
        <w:pStyle w:val="BodyText"/>
      </w:pPr>
      <w:r>
        <w:t xml:space="preserve">RC: CI-ABJ-2019-B-12345 | NIF: 0012345678901</w:t>
      </w:r>
    </w:p>
    <w:p>
      <w:pPr>
        <w:pStyle w:val="BodyText"/>
      </w:pPr>
      <w:r>
        <w:t xml:space="preserve">Certified Auditor – OECI Member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01 Jan 2025 – 31 May 2025</w:t>
      </w:r>
    </w:p>
    <w:bookmarkEnd w:id="21"/>
    <w:bookmarkStart w:id="22" w:name="billed-to-client"/>
    <w:p>
      <w:pPr>
        <w:pStyle w:val="Heading3"/>
      </w:pPr>
      <w:r>
        <w:t xml:space="preserve">Billed To (Client)</w:t>
      </w:r>
    </w:p>
    <w:p>
      <w:pPr>
        <w:pStyle w:val="FirstParagraph"/>
      </w:pPr>
      <w:r>
        <w:rPr>
          <w:bCs/>
          <w:b/>
        </w:rPr>
        <w:t xml:space="preserve">SOABIDJAN INDUSTRIE SA</w:t>
      </w:r>
    </w:p>
    <w:p>
      <w:pPr>
        <w:pStyle w:val="BodyText"/>
      </w:pPr>
      <w:r>
        <w:t xml:space="preserve">Zone Industrielle de Yopougon</w:t>
      </w:r>
    </w:p>
    <w:p>
      <w:pPr>
        <w:pStyle w:val="BodyText"/>
      </w:pPr>
      <w:r>
        <w:t xml:space="preserve">Route de Grand-Bassam, Km 12</w:t>
      </w:r>
    </w:p>
    <w:p>
      <w:pPr>
        <w:pStyle w:val="BodyText"/>
      </w:pPr>
      <w:r>
        <w:t xml:space="preserve">Abidjan, Ivory Coast</w:t>
      </w:r>
    </w:p>
    <w:p>
      <w:pPr>
        <w:pStyle w:val="BodyText"/>
      </w:pPr>
      <w:r>
        <w:t xml:space="preserve">RC: CI-ABJ-2010-B-67890</w:t>
      </w:r>
    </w:p>
    <w:p>
      <w:pPr>
        <w:pStyle w:val="BodyText"/>
      </w:pPr>
      <w:r>
        <w:t xml:space="preserve">NIF: 0098765432101</w:t>
      </w:r>
    </w:p>
    <w:p>
      <w:pPr>
        <w:pStyle w:val="BodyText"/>
      </w:pPr>
      <w:r>
        <w:t xml:space="preserve">Attn: Mr. Kouadio N'Guessan, Chief Financial Officer</w:t>
      </w:r>
    </w:p>
    <w:p>
      <w:pPr>
        <w:pStyle w:val="BodyText"/>
      </w:pPr>
      <w:r>
        <w:t xml:space="preserve">Email: cfo@soabidjan-industrie.ci</w:t>
      </w:r>
    </w:p>
    <w:bookmarkEnd w:id="22"/>
    <w:bookmarkStart w:id="23" w:name="billed-by-auditor"/>
    <w:p>
      <w:pPr>
        <w:pStyle w:val="Heading3"/>
      </w:pPr>
      <w:r>
        <w:t xml:space="preserve">Billed By (Auditor)</w:t>
      </w:r>
    </w:p>
    <w:p>
      <w:pPr>
        <w:pStyle w:val="FirstParagraph"/>
      </w:pPr>
      <w:r>
        <w:rPr>
          <w:bCs/>
          <w:b/>
        </w:rPr>
        <w:t xml:space="preserve">SAFIR AUDIT &amp; CONSEIL</w:t>
      </w:r>
    </w:p>
    <w:p>
      <w:pPr>
        <w:pStyle w:val="BodyText"/>
      </w:pPr>
      <w:r>
        <w:t xml:space="preserve">Lead Auditor: Dr. Awa Koné, CPA, CA</w:t>
      </w:r>
    </w:p>
    <w:p>
      <w:pPr>
        <w:pStyle w:val="BodyText"/>
      </w:pPr>
      <w:r>
        <w:t xml:space="preserve">Immeuble Le Phare, 4ème Étage</w:t>
      </w:r>
    </w:p>
    <w:p>
      <w:pPr>
        <w:pStyle w:val="BodyText"/>
      </w:pPr>
      <w:r>
        <w:t xml:space="preserve">Boulevard de Vridi, Cocody</w:t>
      </w:r>
    </w:p>
    <w:p>
      <w:pPr>
        <w:pStyle w:val="BodyText"/>
      </w:pPr>
      <w:r>
        <w:t xml:space="preserve">Abidjan, Ivory Coast</w:t>
      </w:r>
    </w:p>
    <w:p>
      <w:pPr>
        <w:pStyle w:val="BodyText"/>
      </w:pPr>
      <w:r>
        <w:t xml:space="preserve">RC: CI-ABJ-2019-B-12345</w:t>
      </w:r>
    </w:p>
    <w:p>
      <w:pPr>
        <w:pStyle w:val="BodyText"/>
      </w:pPr>
      <w:r>
        <w:t xml:space="preserve">NIF: 0012345678901</w:t>
      </w:r>
    </w:p>
    <w:p>
      <w:pPr>
        <w:pStyle w:val="BodyText"/>
      </w:pPr>
      <w:r>
        <w:t xml:space="preserve">Email: billing@safir-audit.ci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rPr>
                <w:bCs/>
                <w:b/>
              </w:rPr>
              <w:t xml:space="preserve">Statutory Financial Audit</w:t>
            </w:r>
            <w:r>
              <w:t xml:space="preserve"> </w:t>
            </w:r>
            <w:r>
              <w:t xml:space="preserve">– Full examination of the annual financial statements of SOABIDJAN INDUSTRIE SA in compliance with the Ivorian Commercial Code (Code de Commerce de Côte d'Ivoire) and International Financial Reporting Standards (IFRS). Includes verification of balance sheet, income statement, cash flow statement, and notes to the accounts prepared by the Auditor's team in Abidjan.</w:t>
            </w:r>
          </w:p>
        </w:tc>
        <w:tc>
          <w:tcPr/>
          <w:p>
            <w:pPr>
              <w:pStyle w:val="Compact"/>
              <w:jc w:val="left"/>
            </w:pPr>
            <w:r>
              <w:t xml:space="preserve">Jan – Mar 2025</w:t>
            </w:r>
          </w:p>
        </w:tc>
        <w:tc>
          <w:tcPr/>
          <w:p>
            <w:pPr>
              <w:pStyle w:val="Compact"/>
              <w:jc w:val="left"/>
            </w:pPr>
            <w:r>
              <w:t xml:space="preserve">180</w:t>
            </w:r>
          </w:p>
        </w:tc>
        <w:tc>
          <w:tcPr/>
          <w:p>
            <w:pPr>
              <w:pStyle w:val="Compact"/>
              <w:jc w:val="left"/>
            </w:pPr>
            <w:r>
              <w:t xml:space="preserve">25,000</w:t>
            </w:r>
          </w:p>
        </w:tc>
        <w:tc>
          <w:tcPr/>
          <w:p>
            <w:pPr>
              <w:pStyle w:val="Compact"/>
              <w:jc w:val="left"/>
            </w:pPr>
            <w:r>
              <w:t xml:space="preserve">4,500,000</w:t>
            </w:r>
          </w:p>
        </w:tc>
      </w:tr>
      <w:tr>
        <w:tc>
          <w:tcPr/>
          <w:p>
            <w:pPr>
              <w:pStyle w:val="Compact"/>
              <w:jc w:val="left"/>
            </w:pPr>
            <w:r>
              <w:t xml:space="preserve">02</w:t>
            </w:r>
          </w:p>
        </w:tc>
        <w:tc>
          <w:tcPr/>
          <w:p>
            <w:pPr>
              <w:pStyle w:val="Compact"/>
              <w:jc w:val="left"/>
            </w:pPr>
            <w:r>
              <w:rPr>
                <w:bCs/>
                <w:b/>
              </w:rPr>
              <w:t xml:space="preserve">Internal Control Assessment</w:t>
            </w:r>
            <w:r>
              <w:t xml:space="preserve"> </w:t>
            </w:r>
            <w:r>
              <w:t xml:space="preserve">– Comprehensive review of internal control frameworks, risk management systems, and compliance procedures across all operational divisions of the client located in Abidjan and Grand-Bassam. The Auditor conducted walkthroughs, sampled transactions, and issued a management letter with recommendations.</w:t>
            </w:r>
          </w:p>
        </w:tc>
        <w:tc>
          <w:tcPr/>
          <w:p>
            <w:pPr>
              <w:pStyle w:val="Compact"/>
              <w:jc w:val="left"/>
            </w:pPr>
            <w:r>
              <w:t xml:space="preserve">Feb – Apr 2025</w:t>
            </w:r>
          </w:p>
        </w:tc>
        <w:tc>
          <w:tcPr/>
          <w:p>
            <w:pPr>
              <w:pStyle w:val="Compact"/>
              <w:jc w:val="left"/>
            </w:pPr>
            <w:r>
              <w:t xml:space="preserve">120</w:t>
            </w:r>
          </w:p>
        </w:tc>
        <w:tc>
          <w:tcPr/>
          <w:p>
            <w:pPr>
              <w:pStyle w:val="Compact"/>
              <w:jc w:val="left"/>
            </w:pPr>
            <w:r>
              <w:t xml:space="preserve">22,000</w:t>
            </w:r>
          </w:p>
        </w:tc>
        <w:tc>
          <w:tcPr/>
          <w:p>
            <w:pPr>
              <w:pStyle w:val="Compact"/>
              <w:jc w:val="left"/>
            </w:pPr>
            <w:r>
              <w:t xml:space="preserve">2,640,000</w:t>
            </w:r>
          </w:p>
        </w:tc>
      </w:tr>
      <w:tr>
        <w:tc>
          <w:tcPr/>
          <w:p>
            <w:pPr>
              <w:pStyle w:val="Compact"/>
              <w:jc w:val="left"/>
            </w:pPr>
            <w:r>
              <w:t xml:space="preserve">03</w:t>
            </w:r>
          </w:p>
        </w:tc>
        <w:tc>
          <w:tcPr/>
          <w:p>
            <w:pPr>
              <w:pStyle w:val="Compact"/>
              <w:jc w:val="left"/>
            </w:pPr>
            <w:r>
              <w:rPr>
                <w:bCs/>
                <w:b/>
              </w:rPr>
              <w:t xml:space="preserve">Tax Compliance Audit</w:t>
            </w:r>
            <w:r>
              <w:t xml:space="preserve"> </w:t>
            </w:r>
            <w:r>
              <w:t xml:space="preserve">– Verification of corporate income tax (BIC), value-added tax (TVA), withholding tax, and social security contributions (CNSS) filings for the fiscal year 2024. The Auditor cross-referenced declarations submitted to the Direction Générale des Impôts (DGI) in Abidjan against the client's general ledger and supporting documentation.</w:t>
            </w:r>
          </w:p>
        </w:tc>
        <w:tc>
          <w:tcPr/>
          <w:p>
            <w:pPr>
              <w:pStyle w:val="Compact"/>
              <w:jc w:val="left"/>
            </w:pPr>
            <w:r>
              <w:t xml:space="preserve">Mar – Apr 2025</w:t>
            </w:r>
          </w:p>
        </w:tc>
        <w:tc>
          <w:tcPr/>
          <w:p>
            <w:pPr>
              <w:pStyle w:val="Compact"/>
              <w:jc w:val="left"/>
            </w:pPr>
            <w:r>
              <w:t xml:space="preserve">90</w:t>
            </w:r>
          </w:p>
        </w:tc>
        <w:tc>
          <w:tcPr/>
          <w:p>
            <w:pPr>
              <w:pStyle w:val="Compact"/>
              <w:jc w:val="left"/>
            </w:pPr>
            <w:r>
              <w:t xml:space="preserve">25,000</w:t>
            </w:r>
          </w:p>
        </w:tc>
        <w:tc>
          <w:tcPr/>
          <w:p>
            <w:pPr>
              <w:pStyle w:val="Compact"/>
              <w:jc w:val="left"/>
            </w:pPr>
            <w:r>
              <w:t xml:space="preserve">2,250,000</w:t>
            </w:r>
          </w:p>
        </w:tc>
      </w:tr>
      <w:tr>
        <w:tc>
          <w:tcPr/>
          <w:p>
            <w:pPr>
              <w:pStyle w:val="Compact"/>
              <w:jc w:val="left"/>
            </w:pPr>
            <w:r>
              <w:t xml:space="preserve">04</w:t>
            </w:r>
          </w:p>
        </w:tc>
        <w:tc>
          <w:tcPr/>
          <w:p>
            <w:pPr>
              <w:pStyle w:val="Compact"/>
              <w:jc w:val="left"/>
            </w:pPr>
            <w:r>
              <w:rPr>
                <w:bCs/>
                <w:b/>
              </w:rPr>
              <w:t xml:space="preserve">Inventory and Fixed Asset Verification</w:t>
            </w:r>
            <w:r>
              <w:t xml:space="preserve"> </w:t>
            </w:r>
            <w:r>
              <w:t xml:space="preserve">– Physical count supervision and valuation review of raw materials, work-in-progress, finished goods, and fixed assets at the client's manufacturing facility in Yopougon, Abidjan. The Auditor applied the lower-of-cost-or-net-realizable-value method and assessed depreciation schedules.</w:t>
            </w:r>
          </w:p>
        </w:tc>
        <w:tc>
          <w:tcPr/>
          <w:p>
            <w:pPr>
              <w:pStyle w:val="Compact"/>
              <w:jc w:val="left"/>
            </w:pPr>
            <w:r>
              <w:t xml:space="preserve">Apr 2025</w:t>
            </w:r>
          </w:p>
        </w:tc>
        <w:tc>
          <w:tcPr/>
          <w:p>
            <w:pPr>
              <w:pStyle w:val="Compact"/>
              <w:jc w:val="left"/>
            </w:pPr>
            <w:r>
              <w:t xml:space="preserve">60</w:t>
            </w:r>
          </w:p>
        </w:tc>
        <w:tc>
          <w:tcPr/>
          <w:p>
            <w:pPr>
              <w:pStyle w:val="Compact"/>
              <w:jc w:val="left"/>
            </w:pPr>
            <w:r>
              <w:t xml:space="preserve">20,000</w:t>
            </w:r>
          </w:p>
        </w:tc>
        <w:tc>
          <w:tcPr/>
          <w:p>
            <w:pPr>
              <w:pStyle w:val="Compact"/>
              <w:jc w:val="left"/>
            </w:pPr>
            <w:r>
              <w:t xml:space="preserve">1,200,000</w:t>
            </w:r>
          </w:p>
        </w:tc>
      </w:tr>
      <w:tr>
        <w:tc>
          <w:tcPr/>
          <w:p>
            <w:pPr>
              <w:pStyle w:val="Compact"/>
              <w:jc w:val="left"/>
            </w:pPr>
            <w:r>
              <w:t xml:space="preserve">05</w:t>
            </w:r>
          </w:p>
        </w:tc>
        <w:tc>
          <w:tcPr/>
          <w:p>
            <w:pPr>
              <w:pStyle w:val="Compact"/>
              <w:jc w:val="left"/>
            </w:pPr>
            <w:r>
              <w:rPr>
                <w:bCs/>
                <w:b/>
              </w:rPr>
              <w:t xml:space="preserve">Management Reporting and Advisory</w:t>
            </w:r>
            <w:r>
              <w:t xml:space="preserve"> </w:t>
            </w:r>
            <w:r>
              <w:t xml:space="preserve">– Monthly preparation of management accounts, variance analysis, and strategic advisory sessions with the CFO and board of directors. The Auditor provided quarterly performance dashboards and identified cost-optimization opportunities specific to the Ivorian industrial sector.</w:t>
            </w:r>
          </w:p>
        </w:tc>
        <w:tc>
          <w:tcPr/>
          <w:p>
            <w:pPr>
              <w:pStyle w:val="Compact"/>
              <w:jc w:val="left"/>
            </w:pPr>
            <w:r>
              <w:t xml:space="preserve">Jan – May 2025</w:t>
            </w:r>
          </w:p>
        </w:tc>
        <w:tc>
          <w:tcPr/>
          <w:p>
            <w:pPr>
              <w:pStyle w:val="Compact"/>
              <w:jc w:val="left"/>
            </w:pPr>
            <w:r>
              <w:t xml:space="preserve">75</w:t>
            </w:r>
          </w:p>
        </w:tc>
        <w:tc>
          <w:tcPr/>
          <w:p>
            <w:pPr>
              <w:pStyle w:val="Compact"/>
              <w:jc w:val="left"/>
            </w:pPr>
            <w:r>
              <w:t xml:space="preserve">28,000</w:t>
            </w:r>
          </w:p>
        </w:tc>
        <w:tc>
          <w:tcPr/>
          <w:p>
            <w:pPr>
              <w:pStyle w:val="Compact"/>
              <w:jc w:val="left"/>
            </w:pPr>
            <w:r>
              <w:t xml:space="preserve">2,100,000</w:t>
            </w:r>
          </w:p>
        </w:tc>
      </w:tr>
      <w:tr>
        <w:tc>
          <w:tcPr/>
          <w:p>
            <w:pPr>
              <w:pStyle w:val="Compact"/>
              <w:jc w:val="left"/>
            </w:pPr>
            <w:r>
              <w:t xml:space="preserve">06</w:t>
            </w:r>
          </w:p>
        </w:tc>
        <w:tc>
          <w:tcPr/>
          <w:p>
            <w:pPr>
              <w:pStyle w:val="Compact"/>
              <w:jc w:val="left"/>
            </w:pPr>
            <w:r>
              <w:rPr>
                <w:bCs/>
                <w:b/>
              </w:rPr>
              <w:t xml:space="preserve">IT General Controls Audit</w:t>
            </w:r>
            <w:r>
              <w:t xml:space="preserve"> </w:t>
            </w:r>
            <w:r>
              <w:t xml:space="preserve">– Assessment of information technology general controls, data security protocols, access management, and system integrity for the ERP platform used by the client. The Auditor evaluated backup procedures, disaster recovery plans, and compliance with Ivorian data protection regulations.</w:t>
            </w:r>
          </w:p>
        </w:tc>
        <w:tc>
          <w:tcPr/>
          <w:p>
            <w:pPr>
              <w:pStyle w:val="Compact"/>
              <w:jc w:val="left"/>
            </w:pPr>
            <w:r>
              <w:t xml:space="preserve">May 2025</w:t>
            </w:r>
          </w:p>
        </w:tc>
        <w:tc>
          <w:tcPr/>
          <w:p>
            <w:pPr>
              <w:pStyle w:val="Compact"/>
              <w:jc w:val="left"/>
            </w:pPr>
            <w:r>
              <w:t xml:space="preserve">45</w:t>
            </w:r>
          </w:p>
        </w:tc>
        <w:tc>
          <w:tcPr/>
          <w:p>
            <w:pPr>
              <w:pStyle w:val="Compact"/>
              <w:jc w:val="left"/>
            </w:pPr>
            <w:r>
              <w:t xml:space="preserve">30,000</w:t>
            </w:r>
          </w:p>
        </w:tc>
        <w:tc>
          <w:tcPr/>
          <w:p>
            <w:pPr>
              <w:pStyle w:val="Compact"/>
              <w:jc w:val="left"/>
            </w:pPr>
            <w:r>
              <w:t xml:space="preserve">1,350,000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14,040,000 XOF</w:t>
            </w:r>
          </w:p>
        </w:tc>
      </w:tr>
      <w:tr>
        <w:tc>
          <w:tcPr/>
          <w:p>
            <w:pPr>
              <w:pStyle w:val="Compact"/>
              <w:jc w:val="left"/>
            </w:pPr>
            <w:r>
              <w:t xml:space="preserve">VAT (TVA) – 18%</w:t>
            </w:r>
          </w:p>
        </w:tc>
        <w:tc>
          <w:tcPr/>
          <w:p>
            <w:pPr>
              <w:pStyle w:val="Compact"/>
              <w:jc w:val="right"/>
            </w:pPr>
            <w:r>
              <w:t xml:space="preserve">2,527,200 XOF</w:t>
            </w:r>
          </w:p>
        </w:tc>
      </w:tr>
      <w:tr>
        <w:tc>
          <w:tcPr/>
          <w:p>
            <w:pPr>
              <w:pStyle w:val="Compact"/>
              <w:jc w:val="left"/>
            </w:pPr>
            <w:r>
              <w:t xml:space="preserve">Withholding Tax (Retenue à la Source) – 2%</w:t>
            </w:r>
          </w:p>
        </w:tc>
        <w:tc>
          <w:tcPr/>
          <w:p>
            <w:pPr>
              <w:pStyle w:val="Compact"/>
              <w:jc w:val="right"/>
            </w:pPr>
            <w:r>
              <w:t xml:space="preserve">(280,800 XOF)</w:t>
            </w:r>
          </w:p>
        </w:tc>
      </w:tr>
      <w:tr>
        <w:tc>
          <w:tcPr/>
          <w:p>
            <w:pPr>
              <w:pStyle w:val="Compact"/>
              <w:jc w:val="left"/>
            </w:pPr>
            <w:r>
              <w:t xml:space="preserve">Net Amount Due</w:t>
            </w:r>
          </w:p>
        </w:tc>
        <w:tc>
          <w:tcPr/>
          <w:p>
            <w:pPr>
              <w:pStyle w:val="Compact"/>
              <w:jc w:val="right"/>
            </w:pPr>
            <w:r>
              <w:t xml:space="preserve">16,286,400 XOF</w:t>
            </w:r>
          </w:p>
        </w:tc>
      </w:tr>
    </w:tbl>
    <w:bookmarkStart w:id="24" w:name="notes-terms-conditions"/>
    <w:p>
      <w:pPr>
        <w:pStyle w:val="Heading3"/>
      </w:pPr>
      <w:r>
        <w:t xml:space="preserve">Notes, Terms &amp; Conditions</w:t>
      </w:r>
    </w:p>
    <w:p>
      <w:pPr>
        <w:numPr>
          <w:ilvl w:val="0"/>
          <w:numId w:val="1001"/>
        </w:numPr>
        <w:pStyle w:val="Compact"/>
      </w:pPr>
      <w:r>
        <w:t xml:space="preserve">This invoice is issued by SAFIR AUDIT &amp; CONSEIL, a registered and licensed Auditor firm operating in Abidjan, Ivory Coast, under the supervision of the Ordre des Experts-Comptables de Côte d'Ivoire (OECI). All audit procedures were performed in accordance with International Standards on Auditing (ISA) and the Ivorian regulatory framework.</w:t>
      </w:r>
    </w:p>
    <w:p>
      <w:pPr>
        <w:numPr>
          <w:ilvl w:val="0"/>
          <w:numId w:val="1001"/>
        </w:numPr>
        <w:pStyle w:val="Compact"/>
      </w:pPr>
      <w:r>
        <w:t xml:space="preserve">Payment is due within thirty (30) calendar days from the date of issue. Payment shall be made via bank transfer to: Banque Atlantique Côte d'Ivoire, IBAN: CI18 1000 2000 0123 4567 8901 234, Account Name: SAFIR AUDIT &amp; CONSEIL, Abidjan.</w:t>
      </w:r>
    </w:p>
    <w:p>
      <w:pPr>
        <w:numPr>
          <w:ilvl w:val="0"/>
          <w:numId w:val="1001"/>
        </w:numPr>
        <w:pStyle w:val="Compact"/>
      </w:pPr>
      <w:r>
        <w:t xml:space="preserve">Late payments shall attract a penalty interest of 1.5% per month as stipulated under the Ivorian Commercial Code. The Auditor reserves the right to suspend ongoing services in the event of non-payment beyond the due date.</w:t>
      </w:r>
    </w:p>
    <w:p>
      <w:pPr>
        <w:numPr>
          <w:ilvl w:val="0"/>
          <w:numId w:val="1001"/>
        </w:numPr>
        <w:pStyle w:val="Compact"/>
      </w:pPr>
      <w:r>
        <w:t xml:space="preserve">The Auditor's engagement is governed by the professional engagement contract dated 15 December 2024, signed in Abidjan. This invoice constitutes a partial billing for services rendered during the period January through May 2025. A final settlement invoice will be issued upon completion of the full fiscal year audit.</w:t>
      </w:r>
    </w:p>
    <w:p>
      <w:pPr>
        <w:numPr>
          <w:ilvl w:val="0"/>
          <w:numId w:val="1001"/>
        </w:numPr>
        <w:pStyle w:val="Compact"/>
      </w:pPr>
      <w:r>
        <w:t xml:space="preserve">All working papers, audit reports, and management letters produced by the Auditor remain the confidential property of the engagement and shall not be disclosed to third parties without prior written consent, in compliance with the Ivorian professional secrecy obligations applicable to certified auditors.</w:t>
      </w:r>
    </w:p>
    <w:p>
      <w:pPr>
        <w:numPr>
          <w:ilvl w:val="0"/>
          <w:numId w:val="1001"/>
        </w:numPr>
        <w:pStyle w:val="Compact"/>
      </w:pPr>
      <w:r>
        <w:t xml:space="preserve">This invoice is subject to the jurisdiction of the Commercial Court of Abidjan (Tribunal de Commerce d'Abidjan) for any disputes arising from the audit engagement or payment obligations.</w:t>
      </w:r>
    </w:p>
    <w:p>
      <w:pPr>
        <w:numPr>
          <w:ilvl w:val="0"/>
          <w:numId w:val="1001"/>
        </w:numPr>
        <w:pStyle w:val="Compact"/>
      </w:pPr>
      <w:r>
        <w:t xml:space="preserve">The Auditor confirms that all services described herein were performed by qualified personnel based in Abidjan, Ivory Coast, and that the firm maintains professional indemnity insurance with Société Générale d'Assurance (SGA) for a coverage of 500,000,000 XOF.</w:t>
      </w:r>
    </w:p>
    <w:bookmarkEnd w:id="24"/>
    <w:p>
      <w:pPr>
        <w:pStyle w:val="FirstParagraph"/>
      </w:pPr>
      <w:r>
        <w:rPr>
          <w:bCs/>
          <w:b/>
        </w:rPr>
        <w:t xml:space="preserve">SAFIR AUDIT &amp; CONSEIL</w:t>
      </w:r>
      <w:r>
        <w:t xml:space="preserve"> </w:t>
      </w:r>
      <w:r>
        <w:t xml:space="preserve">– Certified Auditor Firm | Abidjan, Ivory Coast (Côte d'Ivoire)</w:t>
      </w:r>
    </w:p>
    <w:p>
      <w:pPr>
        <w:pStyle w:val="BodyText"/>
      </w:pPr>
      <w:r>
        <w:t xml:space="preserve">Immeuble Le Phare, Boulevard de Vridi, Cocody, Abidjan | Tel: +225 27 22 45 67 89 | www.safir-audit.ci</w:t>
      </w:r>
    </w:p>
    <w:p>
      <w:pPr>
        <w:pStyle w:val="BodyText"/>
      </w:pPr>
      <w:r>
        <w:t xml:space="preserve">Member of the Ordre des Experts-Comptables de Côte d'Ivoire (OECI) | Member of IFAC</w:t>
      </w:r>
    </w:p>
    <w:p>
      <w:pPr>
        <w:pStyle w:val="BodyText"/>
      </w:pPr>
      <w:r>
        <w:t xml:space="preserve">This is a computer-generated invoice and does not require a signature. Invoice No: INV-2025-00487 | Generated on 15 June 2025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 Services - Abidjan, Ivory Coast</dc:title>
  <dc:creator/>
  <dc:language>en</dc:language>
  <cp:keywords/>
  <dcterms:created xsi:type="dcterms:W3CDTF">2026-10-10T01:54:55Z</dcterms:created>
  <dcterms:modified xsi:type="dcterms:W3CDTF">2026-10-10T01:54:55Z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