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precision-audit-advisory-llp"/>
    <w:p>
      <w:pPr>
        <w:pStyle w:val="Heading1"/>
      </w:pPr>
      <w:r>
        <w:t xml:space="preserve">Kyoto Precision Audit &amp; Advisory LLP</w:t>
      </w:r>
    </w:p>
    <w:p>
      <w:pPr>
        <w:pStyle w:val="FirstParagraph"/>
      </w:pPr>
      <w:r>
        <w:t xml:space="preserve">2-14-8 Higashiyama, Gionmachi, Higashiyama-ku</w:t>
      </w:r>
    </w:p>
    <w:p>
      <w:pPr>
        <w:pStyle w:val="BodyText"/>
      </w:pPr>
      <w:r>
        <w:t xml:space="preserve">Kyoto 605-0074, Japan</w:t>
      </w:r>
    </w:p>
    <w:p>
      <w:pPr>
        <w:pStyle w:val="BodyText"/>
      </w:pPr>
      <w:r>
        <w:t xml:space="preserve">Tel: +81-75-555-0142 | Email: billing@kyotoprecisionaudit.jp</w:t>
      </w:r>
    </w:p>
    <w:p>
      <w:pPr>
        <w:pStyle w:val="BodyText"/>
      </w:pPr>
      <w:r>
        <w:t xml:space="preserve">Corporate Registration No.: 4010401087654</w:t>
      </w:r>
    </w:p>
    <w:p>
      <w:pPr>
        <w:pStyle w:val="BodyText"/>
      </w:pPr>
      <w:r>
        <w:t xml:space="preserve">Certified Auditor – Japan Kyoto Region</w:t>
      </w:r>
    </w:p>
    <w:bookmarkEnd w:id="20"/>
    <w:bookmarkStart w:id="21" w:name="invoice"/>
    <w:p>
      <w:pPr>
        <w:pStyle w:val="Heading2"/>
      </w:pPr>
      <w:r>
        <w:t xml:space="preserve">INVOICE</w:t>
      </w:r>
    </w:p>
    <w:p>
      <w:pPr>
        <w:pStyle w:val="FirstParagraph"/>
      </w:pPr>
      <w:r>
        <w:t xml:space="preserve">Invoice No.: KPA-2025-0487</w:t>
      </w:r>
    </w:p>
    <w:p>
      <w:pPr>
        <w:pStyle w:val="BodyText"/>
      </w:pPr>
      <w:r>
        <w:t xml:space="preserve">Date of Issue: 15 June 2025</w:t>
      </w:r>
    </w:p>
    <w:p>
      <w:pPr>
        <w:pStyle w:val="BodyText"/>
      </w:pPr>
      <w:r>
        <w:t xml:space="preserve">Due Date: 15 July 2025</w:t>
      </w:r>
    </w:p>
    <w:p>
      <w:pPr>
        <w:pStyle w:val="BodyText"/>
      </w:pPr>
      <w:r>
        <w:t xml:space="preserve">Currency: Japanese Yen (JPY)</w:t>
      </w:r>
    </w:p>
    <w:bookmarkEnd w:id="21"/>
    <w:bookmarkStart w:id="22" w:name="billed-to-client"/>
    <w:p>
      <w:pPr>
        <w:pStyle w:val="Heading3"/>
      </w:pPr>
      <w:r>
        <w:t xml:space="preserve">Billed To (Client)</w:t>
      </w:r>
    </w:p>
    <w:p>
      <w:pPr>
        <w:pStyle w:val="FirstParagraph"/>
      </w:pPr>
      <w:r>
        <w:rPr>
          <w:bCs/>
          <w:b/>
        </w:rPr>
        <w:t xml:space="preserve">Shimizu Holdings Corporation</w:t>
      </w:r>
    </w:p>
    <w:p>
      <w:pPr>
        <w:pStyle w:val="BodyText"/>
      </w:pPr>
      <w:r>
        <w:t xml:space="preserve">Attn: Mr. Kenji Tanaka, Chief Financial Officer</w:t>
      </w:r>
    </w:p>
    <w:p>
      <w:pPr>
        <w:pStyle w:val="BodyText"/>
      </w:pPr>
      <w:r>
        <w:t xml:space="preserve">45-3 Karasuma Oike, Nakagyo-ku</w:t>
      </w:r>
    </w:p>
    <w:p>
      <w:pPr>
        <w:pStyle w:val="BodyText"/>
      </w:pPr>
      <w:r>
        <w:t xml:space="preserve">Kyoto 604-8001, Japan</w:t>
      </w:r>
    </w:p>
    <w:p>
      <w:pPr>
        <w:pStyle w:val="BodyText"/>
      </w:pPr>
      <w:r>
        <w:t xml:space="preserve">Tax ID: 9010001234567</w:t>
      </w:r>
    </w:p>
    <w:bookmarkEnd w:id="22"/>
    <w:bookmarkStart w:id="23" w:name="prepared-by-auditor"/>
    <w:p>
      <w:pPr>
        <w:pStyle w:val="Heading3"/>
      </w:pPr>
      <w:r>
        <w:t xml:space="preserve">Prepared By (Auditor)</w:t>
      </w:r>
    </w:p>
    <w:p>
      <w:pPr>
        <w:pStyle w:val="FirstParagraph"/>
      </w:pPr>
      <w:r>
        <w:rPr>
          <w:bCs/>
          <w:b/>
        </w:rPr>
        <w:t xml:space="preserve">Ms. Yuki Nakamura, CPA, CISA</w:t>
      </w:r>
    </w:p>
    <w:p>
      <w:pPr>
        <w:pStyle w:val="BodyText"/>
      </w:pPr>
      <w:r>
        <w:t xml:space="preserve">Lead Auditor – Japan Kyoto Office</w:t>
      </w:r>
    </w:p>
    <w:p>
      <w:pPr>
        <w:pStyle w:val="BodyText"/>
      </w:pPr>
      <w:r>
        <w:t xml:space="preserve">Kyoto Precision Audit &amp; Advisory LLP</w:t>
      </w:r>
    </w:p>
    <w:p>
      <w:pPr>
        <w:pStyle w:val="BodyText"/>
      </w:pPr>
      <w:r>
        <w:t xml:space="preserve">Auditor License No.: JP-AUD-2019-3387</w:t>
      </w:r>
    </w:p>
    <w:p>
      <w:pPr>
        <w:pStyle w:val="BodyText"/>
      </w:pPr>
      <w:r>
        <w:t xml:space="preserve">Supervising Partner: Dr. Hiroshi Watanabe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 Rendered in Japan Kyoto</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Annual Financial Statement Audit – Full-scope examination of consolidated financial records for fiscal year 2024, conducted by the assigned Auditor team at the client's Japan Kyoto headquarters. Includes verification of revenue recognition, asset valuation, and compliance with Japanese GAAP and IFRS standards.</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 Assessment – The Auditor performed a comprehensive review of internal control frameworks across all Japan Kyoto operational divisions, evaluating segregation of duties, authorization protocols, and IT general controls. Findings documented in a separate Auditor's report.</w:t>
            </w:r>
          </w:p>
        </w:tc>
        <w:tc>
          <w:tcPr/>
          <w:p>
            <w:pPr>
              <w:pStyle w:val="Compact"/>
              <w:jc w:val="left"/>
            </w:pPr>
            <w:r>
              <w:t xml:space="preserve">Feb 2025</w:t>
            </w:r>
          </w:p>
        </w:tc>
        <w:tc>
          <w:tcPr/>
          <w:p>
            <w:pPr>
              <w:pStyle w:val="Compact"/>
              <w:jc w:val="left"/>
            </w:pPr>
            <w:r>
              <w:t xml:space="preserve">65</w:t>
            </w:r>
          </w:p>
        </w:tc>
        <w:tc>
          <w:tcPr/>
          <w:p>
            <w:pPr>
              <w:pStyle w:val="Compact"/>
              <w:jc w:val="left"/>
            </w:pPr>
            <w:r>
              <w:t xml:space="preserve">16,000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Compliance Audit – Regulatory and statutory compliance verification in accordance with the Companies Act of Japan and the Financial Instruments and Exchange Act. The Auditor confirmed adherence to disclosure obligations and corporate governance requirements specific to the Japan Kyoto jurisdiction.</w:t>
            </w:r>
          </w:p>
        </w:tc>
        <w:tc>
          <w:tcPr/>
          <w:p>
            <w:pPr>
              <w:pStyle w:val="Compact"/>
              <w:jc w:val="left"/>
            </w:pPr>
            <w:r>
              <w:t xml:space="preserve">Mar 2025</w:t>
            </w:r>
          </w:p>
        </w:tc>
        <w:tc>
          <w:tcPr/>
          <w:p>
            <w:pPr>
              <w:pStyle w:val="Compact"/>
              <w:jc w:val="left"/>
            </w:pPr>
            <w:r>
              <w:t xml:space="preserve">48</w:t>
            </w:r>
          </w:p>
        </w:tc>
        <w:tc>
          <w:tcPr/>
          <w:p>
            <w:pPr>
              <w:pStyle w:val="Compact"/>
              <w:jc w:val="left"/>
            </w:pPr>
            <w:r>
              <w:t xml:space="preserve">17,500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Forensic Audit Support – Specialized investigative procedures initiated at the client's request to examine irregularities in subsidiary transactions. The Auditor deployed forensic accounting techniques and digital evidence analysis tools at the Japan Kyoto field office.</w:t>
            </w:r>
          </w:p>
        </w:tc>
        <w:tc>
          <w:tcPr/>
          <w:p>
            <w:pPr>
              <w:pStyle w:val="Compact"/>
              <w:jc w:val="left"/>
            </w:pPr>
            <w:r>
              <w:t xml:space="preserve">Apr 2025</w:t>
            </w:r>
          </w:p>
        </w:tc>
        <w:tc>
          <w:tcPr/>
          <w:p>
            <w:pPr>
              <w:pStyle w:val="Compact"/>
              <w:jc w:val="left"/>
            </w:pPr>
            <w:r>
              <w:t xml:space="preserve">36</w:t>
            </w:r>
          </w:p>
        </w:tc>
        <w:tc>
          <w:tcPr/>
          <w:p>
            <w:pPr>
              <w:pStyle w:val="Compact"/>
              <w:jc w:val="left"/>
            </w:pPr>
            <w:r>
              <w:t xml:space="preserve">22,000</w:t>
            </w:r>
          </w:p>
        </w:tc>
        <w:tc>
          <w:tcPr/>
          <w:p>
            <w:pPr>
              <w:pStyle w:val="Compact"/>
              <w:jc w:val="left"/>
            </w:pPr>
            <w:r>
              <w:t xml:space="preserve">792,000</w:t>
            </w:r>
          </w:p>
        </w:tc>
      </w:tr>
      <w:tr>
        <w:tc>
          <w:tcPr/>
          <w:p>
            <w:pPr>
              <w:pStyle w:val="Compact"/>
              <w:jc w:val="left"/>
            </w:pPr>
            <w:r>
              <w:t xml:space="preserve">05</w:t>
            </w:r>
          </w:p>
        </w:tc>
        <w:tc>
          <w:tcPr/>
          <w:p>
            <w:pPr>
              <w:pStyle w:val="Compact"/>
              <w:jc w:val="left"/>
            </w:pPr>
            <w:r>
              <w:t xml:space="preserve">Management Letter &amp; Advisory Consultation – The Auditor prepared a detailed management letter outlining observations, risk assessments, and actionable recommendations. Includes two on-site advisory sessions held in Japan Kyoto to discuss remediation strategies with senior leadership.</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Accommodation &amp; Fieldwork Expenses – Costs incurred by the Auditor team for on-site inspections at three Japan Kyoto facility locations, including transportation, lodging, and document retrieval from the National Tax Agency office in Kyoto.</w:t>
            </w:r>
          </w:p>
        </w:tc>
        <w:tc>
          <w:tcPr/>
          <w:p>
            <w:pPr>
              <w:pStyle w:val="Compact"/>
              <w:jc w:val="left"/>
            </w:pPr>
            <w:r>
              <w:t xml:space="preserve">Jan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5,437,000</w:t>
            </w:r>
          </w:p>
        </w:tc>
      </w:tr>
      <w:tr>
        <w:tc>
          <w:tcPr/>
          <w:p>
            <w:pPr>
              <w:pStyle w:val="Compact"/>
              <w:jc w:val="left"/>
            </w:pPr>
            <w:r>
              <w:t xml:space="preserve">Consumption Tax (10%)</w:t>
            </w:r>
          </w:p>
        </w:tc>
        <w:tc>
          <w:tcPr/>
          <w:p>
            <w:pPr>
              <w:pStyle w:val="Compact"/>
              <w:jc w:val="left"/>
            </w:pPr>
            <w:r>
              <w:t xml:space="preserve">543,700</w:t>
            </w:r>
          </w:p>
        </w:tc>
      </w:tr>
      <w:tr>
        <w:tc>
          <w:tcPr/>
          <w:p>
            <w:pPr>
              <w:pStyle w:val="Compact"/>
              <w:jc w:val="left"/>
            </w:pPr>
            <w:r>
              <w:t xml:space="preserve">Discount (Early Payment – 2%)</w:t>
            </w:r>
          </w:p>
        </w:tc>
        <w:tc>
          <w:tcPr/>
          <w:p>
            <w:pPr>
              <w:pStyle w:val="Compact"/>
              <w:jc w:val="left"/>
            </w:pPr>
            <w:r>
              <w:t xml:space="preserve">(108,740)</w:t>
            </w:r>
          </w:p>
        </w:tc>
      </w:tr>
      <w:tr>
        <w:tc>
          <w:tcPr/>
          <w:p>
            <w:pPr>
              <w:pStyle w:val="Compact"/>
              <w:jc w:val="left"/>
            </w:pPr>
            <w:r>
              <w:t xml:space="preserve">Grand Total Due</w:t>
            </w:r>
          </w:p>
        </w:tc>
        <w:tc>
          <w:tcPr/>
          <w:p>
            <w:pPr>
              <w:pStyle w:val="Compact"/>
              <w:jc w:val="left"/>
            </w:pPr>
            <w:r>
              <w:t xml:space="preserve">5,871,960</w:t>
            </w:r>
          </w:p>
        </w:tc>
      </w:tr>
    </w:tbl>
    <w:bookmarkStart w:id="24" w:name="invoice-terms-auditors-notes"/>
    <w:p>
      <w:pPr>
        <w:pStyle w:val="Heading3"/>
      </w:pPr>
      <w:r>
        <w:t xml:space="preserve">Invoice Terms &amp; Auditor's Notes</w:t>
      </w:r>
    </w:p>
    <w:p>
      <w:pPr>
        <w:pStyle w:val="FirstParagraph"/>
      </w:pPr>
      <w:r>
        <w:t xml:space="preserve">This Invoice is issued by Kyoto Precision Audit &amp; Advisory LLP in its capacity as the independent Auditor engaged by Shimizu Holdings Corporation. All services described herein were performed in strict accordance with the Japan Institute of Certified Public Accountants (JICPA) standards and the professional code of ethics governing Auditors operating in Japan Kyoto.</w:t>
      </w:r>
    </w:p>
    <w:p>
      <w:pPr>
        <w:numPr>
          <w:ilvl w:val="0"/>
          <w:numId w:val="1001"/>
        </w:numPr>
        <w:pStyle w:val="Compact"/>
      </w:pPr>
      <w:r>
        <w:t xml:space="preserve">Payment is due within thirty (30) calendar days from the date of this Invoice. Late payments shall accrue interest at 1.5% per month as stipulated under Japanese commercial law.</w:t>
      </w:r>
    </w:p>
    <w:p>
      <w:pPr>
        <w:numPr>
          <w:ilvl w:val="0"/>
          <w:numId w:val="1001"/>
        </w:numPr>
        <w:pStyle w:val="Compact"/>
      </w:pPr>
      <w:r>
        <w:t xml:space="preserve">The Auditor reserves the right to issue a supplementary Invoice should additional fieldwork or document requests arise from the Japan Kyoto regulatory authorities during the finalization of the audit opinion.</w:t>
      </w:r>
    </w:p>
    <w:p>
      <w:pPr>
        <w:numPr>
          <w:ilvl w:val="0"/>
          <w:numId w:val="1001"/>
        </w:numPr>
        <w:pStyle w:val="Compact"/>
      </w:pPr>
      <w:r>
        <w:t xml:space="preserve">All workpapers, draft reports, and the final Auditor's opinion letter will be delivered to the client's CFO within five business days of the Invoice due date.</w:t>
      </w:r>
    </w:p>
    <w:p>
      <w:pPr>
        <w:numPr>
          <w:ilvl w:val="0"/>
          <w:numId w:val="1001"/>
        </w:numPr>
        <w:pStyle w:val="Compact"/>
      </w:pPr>
      <w:r>
        <w:t xml:space="preserve">This Invoice does not constitute a guarantee of any specific audit outcome. The Auditor's opinion is subject to the availability and completeness of records provided by the client in Japan Kyoto.</w:t>
      </w:r>
    </w:p>
    <w:p>
      <w:pPr>
        <w:numPr>
          <w:ilvl w:val="0"/>
          <w:numId w:val="1001"/>
        </w:numPr>
        <w:pStyle w:val="Compact"/>
      </w:pPr>
      <w:r>
        <w:t xml:space="preserve">For disputes regarding this Invoice, parties agree to mediation under the Japan Arbitration Association before pursuing litigation in the Kyoto District Court.</w:t>
      </w:r>
    </w:p>
    <w:bookmarkEnd w:id="24"/>
    <w:p>
      <w:pPr>
        <w:pStyle w:val="FirstParagraph"/>
      </w:pPr>
      <w:r>
        <w:rPr>
          <w:bCs/>
          <w:b/>
        </w:rPr>
        <w:t xml:space="preserve">Kyoto Precision Audit &amp; Advisory LLP</w:t>
      </w:r>
      <w:r>
        <w:t xml:space="preserve"> </w:t>
      </w:r>
      <w:r>
        <w:t xml:space="preserve">– A registered firm of Certified Public Accountants and Auditors in Japan Kyoto.</w:t>
      </w:r>
    </w:p>
    <w:p>
      <w:pPr>
        <w:pStyle w:val="BodyText"/>
      </w:pPr>
      <w:r>
        <w:t xml:space="preserve">Bank: Mizuho Bank, Kyoto Main Branch | Account Name: Kyoto Precision Audit &amp; Advisory LLP | Account No.: 214-558-7721</w:t>
      </w:r>
    </w:p>
    <w:p>
      <w:pPr>
        <w:pStyle w:val="BodyText"/>
      </w:pPr>
      <w:r>
        <w:t xml:space="preserve">This Invoice is valid for 90 days from the date of issue. Please reference Invoice No. KPA-2025-0487 in all correspondence and remittances.</w:t>
      </w:r>
    </w:p>
    <w:p>
      <w:pPr>
        <w:pStyle w:val="BodyText"/>
      </w:pPr>
      <w:r>
        <w:t xml:space="preserve">Thank you for engaging our Auditor services in Japan Kyoto. We remain committed to delivering the highest standard of independent, objective, and professional assurance to our clients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Japan Kyoto</dc:title>
  <dc:creator/>
  <dc:language>en</dc:language>
  <cp:keywords/>
  <dcterms:created xsi:type="dcterms:W3CDTF">2026-10-10T04:07:23Z</dcterms:created>
  <dcterms:modified xsi:type="dcterms:W3CDTF">2026-10-10T04:07:23Z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