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audit-compliance-group-llp"/>
    <w:p>
      <w:pPr>
        <w:pStyle w:val="Heading1"/>
      </w:pPr>
      <w:r>
        <w:t xml:space="preserve">Almaty Audit &amp; Compliance Group LLP</w:t>
      </w:r>
    </w:p>
    <w:p>
      <w:pPr>
        <w:pStyle w:val="FirstParagraph"/>
      </w:pPr>
      <w:r>
        <w:t xml:space="preserve">145 Abai Avenue, Office 712, Almaty, 050040, Kazakhstan</w:t>
      </w:r>
    </w:p>
    <w:p>
      <w:pPr>
        <w:pStyle w:val="BodyText"/>
      </w:pPr>
      <w:r>
        <w:t xml:space="preserve">Taxpayer ID (BIN): 990845001234</w:t>
      </w:r>
    </w:p>
    <w:p>
      <w:pPr>
        <w:pStyle w:val="BodyText"/>
      </w:pPr>
      <w:r>
        <w:t xml:space="preserve">Phone: +7 (727) 312-45-67 | Email: billing@almatyaudit.kz</w:t>
      </w:r>
    </w:p>
    <w:p>
      <w:pPr>
        <w:pStyle w:val="BodyText"/>
      </w:pPr>
      <w:r>
        <w:t xml:space="preserve">IBAN: KZ85 9900 0000 0000 1234 5678 (Halyk Bank)</w:t>
      </w:r>
    </w:p>
    <w:bookmarkEnd w:id="20"/>
    <w:bookmarkStart w:id="21" w:name="invoice"/>
    <w:p>
      <w:pPr>
        <w:pStyle w:val="Heading2"/>
      </w:pPr>
      <w:r>
        <w:t xml:space="preserve">INVOICE</w:t>
      </w:r>
    </w:p>
    <w:p>
      <w:pPr>
        <w:pStyle w:val="FirstParagraph"/>
      </w:pPr>
      <w:r>
        <w:t xml:space="preserve">Invoice No: ACG-2025-00487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Tenge Industrial Holdings JSC</w:t>
      </w:r>
    </w:p>
    <w:p>
      <w:pPr>
        <w:pStyle w:val="BodyText"/>
      </w:pPr>
      <w:r>
        <w:t xml:space="preserve">Address:</w:t>
      </w:r>
      <w:r>
        <w:t xml:space="preserve"> </w:t>
      </w:r>
      <w:r>
        <w:t xml:space="preserve">88 Dostyk Avenue, Almaty, 050000, Kazakhstan</w:t>
      </w:r>
    </w:p>
    <w:p>
      <w:pPr>
        <w:pStyle w:val="BodyText"/>
      </w:pPr>
      <w:r>
        <w:t xml:space="preserve">BIN:</w:t>
      </w:r>
      <w:r>
        <w:t xml:space="preserve"> </w:t>
      </w:r>
      <w:r>
        <w:t xml:space="preserve">040512009876</w:t>
      </w:r>
    </w:p>
    <w:p>
      <w:pPr>
        <w:pStyle w:val="BodyText"/>
      </w:pPr>
      <w:r>
        <w:t xml:space="preserve">Contact Person:</w:t>
      </w:r>
      <w:r>
        <w:t xml:space="preserve"> </w:t>
      </w:r>
      <w:r>
        <w:t xml:space="preserve">Mr. Dauren Kassenov, CFO</w:t>
      </w:r>
    </w:p>
    <w:p>
      <w:pPr>
        <w:pStyle w:val="BodyText"/>
      </w:pPr>
      <w:r>
        <w:t xml:space="preserve">Email:</w:t>
      </w:r>
      <w:r>
        <w:t xml:space="preserve"> </w:t>
      </w:r>
      <w:r>
        <w:t xml:space="preserve">d.kassenov@tengeindustrial.kz</w:t>
      </w:r>
    </w:p>
    <w:bookmarkEnd w:id="22"/>
    <w:bookmarkStart w:id="23" w:name="service-provider-auditor"/>
    <w:p>
      <w:pPr>
        <w:pStyle w:val="Heading3"/>
      </w:pPr>
      <w:r>
        <w:t xml:space="preserve">Service Provider (Auditor)</w:t>
      </w:r>
    </w:p>
    <w:p>
      <w:pPr>
        <w:pStyle w:val="FirstParagraph"/>
      </w:pPr>
      <w:r>
        <w:t xml:space="preserve">Lead Auditor:</w:t>
      </w:r>
      <w:r>
        <w:t xml:space="preserve"> </w:t>
      </w:r>
      <w:r>
        <w:t xml:space="preserve">Ms. Aigerim Nurlanova, CPA (Kazakhstan)</w:t>
      </w:r>
    </w:p>
    <w:p>
      <w:pPr>
        <w:pStyle w:val="BodyText"/>
      </w:pPr>
      <w:r>
        <w:t xml:space="preserve">License No:</w:t>
      </w:r>
      <w:r>
        <w:t xml:space="preserve"> </w:t>
      </w:r>
      <w:r>
        <w:t xml:space="preserve">KZ-AUD-2019-00342</w:t>
      </w:r>
    </w:p>
    <w:p>
      <w:pPr>
        <w:pStyle w:val="BodyText"/>
      </w:pPr>
      <w:r>
        <w:t xml:space="preserve">Firm:</w:t>
      </w:r>
      <w:r>
        <w:t xml:space="preserve"> </w:t>
      </w:r>
      <w:r>
        <w:t xml:space="preserve">Almaty Audit &amp; Compliance Group LLP</w:t>
      </w:r>
    </w:p>
    <w:p>
      <w:pPr>
        <w:pStyle w:val="BodyText"/>
      </w:pPr>
      <w:r>
        <w:t xml:space="preserve">Registration:</w:t>
      </w:r>
      <w:r>
        <w:t xml:space="preserve"> </w:t>
      </w:r>
      <w:r>
        <w:t xml:space="preserve">Almaty City Department of Justice</w:t>
      </w:r>
    </w:p>
    <w:p>
      <w:pPr>
        <w:pStyle w:val="BodyText"/>
      </w:pPr>
      <w:r>
        <w:t xml:space="preserve">Engagement Ref:</w:t>
      </w:r>
      <w:r>
        <w:t xml:space="preserve"> </w:t>
      </w:r>
      <w:r>
        <w:t xml:space="preserve">AUD-ENG-2025-112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Rate (KZT)</w:t>
            </w:r>
          </w:p>
        </w:tc>
        <w:tc>
          <w:tcPr/>
          <w:p>
            <w:pPr>
              <w:pStyle w:val="Compact"/>
              <w:jc w:val="left"/>
            </w:pPr>
            <w:r>
              <w:t xml:space="preserve">Hours</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Annual Financial Statement Audit – Preparation and execution of a full-scope statutory audit in accordance with the Audit Law of the Republic of Kazakhstan and IFRS standards. The Auditor conducted fieldwork at the client's primary facility in Kazakhstan Almaty, verifying revenue recognition, asset valuations, and liability disclosures.</w:t>
            </w:r>
          </w:p>
        </w:tc>
        <w:tc>
          <w:tcPr/>
          <w:p>
            <w:pPr>
              <w:pStyle w:val="Compact"/>
              <w:jc w:val="left"/>
            </w:pPr>
            <w:r>
              <w:t xml:space="preserve">Jan – Dec 2024</w:t>
            </w:r>
          </w:p>
        </w:tc>
        <w:tc>
          <w:tcPr/>
          <w:p>
            <w:pPr>
              <w:pStyle w:val="Compact"/>
              <w:jc w:val="left"/>
            </w:pPr>
            <w:r>
              <w:t xml:space="preserve">45,000</w:t>
            </w:r>
          </w:p>
        </w:tc>
        <w:tc>
          <w:tcPr/>
          <w:p>
            <w:pPr>
              <w:pStyle w:val="Compact"/>
              <w:jc w:val="left"/>
            </w:pPr>
            <w:r>
              <w:t xml:space="preserve">120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 Assessment – The Auditor performed a comprehensive review of the client's internal control environment, including segregation of duties, authorization matrices, and IT general controls. Findings were documented in a management letter issued to the Board of Directors in Kazakhstan Almaty.</w:t>
            </w:r>
          </w:p>
        </w:tc>
        <w:tc>
          <w:tcPr/>
          <w:p>
            <w:pPr>
              <w:pStyle w:val="Compact"/>
              <w:jc w:val="left"/>
            </w:pPr>
            <w:r>
              <w:t xml:space="preserve">Mar – May 2025</w:t>
            </w:r>
          </w:p>
        </w:tc>
        <w:tc>
          <w:tcPr/>
          <w:p>
            <w:pPr>
              <w:pStyle w:val="Compact"/>
              <w:jc w:val="left"/>
            </w:pPr>
            <w:r>
              <w:t xml:space="preserve">38,000</w:t>
            </w:r>
          </w:p>
        </w:tc>
        <w:tc>
          <w:tcPr/>
          <w:p>
            <w:pPr>
              <w:pStyle w:val="Compact"/>
              <w:jc w:val="left"/>
            </w:pPr>
            <w:r>
              <w:t xml:space="preserve">64</w:t>
            </w:r>
          </w:p>
        </w:tc>
        <w:tc>
          <w:tcPr/>
          <w:p>
            <w:pPr>
              <w:pStyle w:val="Compact"/>
              <w:jc w:val="left"/>
            </w:pPr>
            <w:r>
              <w:t xml:space="preserve">2,432,000</w:t>
            </w:r>
          </w:p>
        </w:tc>
      </w:tr>
      <w:tr>
        <w:tc>
          <w:tcPr/>
          <w:p>
            <w:pPr>
              <w:pStyle w:val="Compact"/>
              <w:jc w:val="left"/>
            </w:pPr>
            <w:r>
              <w:t xml:space="preserve">3</w:t>
            </w:r>
          </w:p>
        </w:tc>
        <w:tc>
          <w:tcPr/>
          <w:p>
            <w:pPr>
              <w:pStyle w:val="Compact"/>
              <w:jc w:val="left"/>
            </w:pPr>
            <w:r>
              <w:t xml:space="preserve">Tax Compliance Review – The Auditor conducted a specialized tax audit covering corporate income tax, VAT, and social security contributions for the fiscal year 2024. This engagement ensured full compliance with the Tax Code of the Republic of Kazakhstan and identified potential exposure areas for remediation.</w:t>
            </w:r>
          </w:p>
        </w:tc>
        <w:tc>
          <w:tcPr/>
          <w:p>
            <w:pPr>
              <w:pStyle w:val="Compact"/>
              <w:jc w:val="left"/>
            </w:pPr>
            <w:r>
              <w:t xml:space="preserve">Apr – May 2025</w:t>
            </w:r>
          </w:p>
        </w:tc>
        <w:tc>
          <w:tcPr/>
          <w:p>
            <w:pPr>
              <w:pStyle w:val="Compact"/>
              <w:jc w:val="left"/>
            </w:pPr>
            <w:r>
              <w:t xml:space="preserve">42,000</w:t>
            </w:r>
          </w:p>
        </w:tc>
        <w:tc>
          <w:tcPr/>
          <w:p>
            <w:pPr>
              <w:pStyle w:val="Compact"/>
              <w:jc w:val="left"/>
            </w:pPr>
            <w:r>
              <w:t xml:space="preserve">48</w:t>
            </w:r>
          </w:p>
        </w:tc>
        <w:tc>
          <w:tcPr/>
          <w:p>
            <w:pPr>
              <w:pStyle w:val="Compact"/>
              <w:jc w:val="left"/>
            </w:pPr>
            <w:r>
              <w:t xml:space="preserve">2,016,000</w:t>
            </w:r>
          </w:p>
        </w:tc>
      </w:tr>
      <w:tr>
        <w:tc>
          <w:tcPr/>
          <w:p>
            <w:pPr>
              <w:pStyle w:val="Compact"/>
              <w:jc w:val="left"/>
            </w:pPr>
            <w:r>
              <w:t xml:space="preserve">4</w:t>
            </w:r>
          </w:p>
        </w:tc>
        <w:tc>
          <w:tcPr/>
          <w:p>
            <w:pPr>
              <w:pStyle w:val="Compact"/>
              <w:jc w:val="left"/>
            </w:pPr>
            <w:r>
              <w:t xml:space="preserve">Forensic Accounting &amp; Fraud Investigation – Upon the client's request, the Auditor initiated a targeted forensic examination of intercompany transactions between Tenge Industrial Holdings JSC and its subsidiary in Astana. The Auditor prepared a detailed investigative report with evidentiary documentation suitable for submission to the Almaty City Court if litigation becomes necessary.</w:t>
            </w:r>
          </w:p>
        </w:tc>
        <w:tc>
          <w:tcPr/>
          <w:p>
            <w:pPr>
              <w:pStyle w:val="Compact"/>
              <w:jc w:val="left"/>
            </w:pPr>
            <w:r>
              <w:t xml:space="preserve">May – Jun 2025</w:t>
            </w:r>
          </w:p>
        </w:tc>
        <w:tc>
          <w:tcPr/>
          <w:p>
            <w:pPr>
              <w:pStyle w:val="Compact"/>
              <w:jc w:val="left"/>
            </w:pPr>
            <w:r>
              <w:t xml:space="preserve">55,000</w:t>
            </w:r>
          </w:p>
        </w:tc>
        <w:tc>
          <w:tcPr/>
          <w:p>
            <w:pPr>
              <w:pStyle w:val="Compact"/>
              <w:jc w:val="left"/>
            </w:pPr>
            <w:r>
              <w:t xml:space="preserve">36</w:t>
            </w:r>
          </w:p>
        </w:tc>
        <w:tc>
          <w:tcPr/>
          <w:p>
            <w:pPr>
              <w:pStyle w:val="Compact"/>
              <w:jc w:val="left"/>
            </w:pPr>
            <w:r>
              <w:t xml:space="preserve">1,980,000</w:t>
            </w:r>
          </w:p>
        </w:tc>
      </w:tr>
      <w:tr>
        <w:tc>
          <w:tcPr/>
          <w:p>
            <w:pPr>
              <w:pStyle w:val="Compact"/>
              <w:jc w:val="left"/>
            </w:pPr>
            <w:r>
              <w:t xml:space="preserve">5</w:t>
            </w:r>
          </w:p>
        </w:tc>
        <w:tc>
          <w:tcPr/>
          <w:p>
            <w:pPr>
              <w:pStyle w:val="Compact"/>
              <w:jc w:val="left"/>
            </w:pPr>
            <w:r>
              <w:t xml:space="preserve">Regulatory Reporting &amp; Filing Support – The Auditor assisted in the preparation and electronic submission of mandatory audit reports to the State Revenue Committee of Kazakhstan and the Almaty Stock Exchange. This included the issuance of the formal audit opinion letter and the accompanying management representation letter.</w:t>
            </w:r>
          </w:p>
        </w:tc>
        <w:tc>
          <w:tcPr/>
          <w:p>
            <w:pPr>
              <w:pStyle w:val="Compact"/>
              <w:jc w:val="left"/>
            </w:pPr>
            <w:r>
              <w:t xml:space="preserve">Jun 2025</w:t>
            </w:r>
          </w:p>
        </w:tc>
        <w:tc>
          <w:tcPr/>
          <w:p>
            <w:pPr>
              <w:pStyle w:val="Compact"/>
              <w:jc w:val="left"/>
            </w:pPr>
            <w:r>
              <w:t xml:space="preserve">35,000</w:t>
            </w:r>
          </w:p>
        </w:tc>
        <w:tc>
          <w:tcPr/>
          <w:p>
            <w:pPr>
              <w:pStyle w:val="Compact"/>
              <w:jc w:val="left"/>
            </w:pPr>
            <w:r>
              <w:t xml:space="preserve">16</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12,388,000 KZT</w:t>
            </w:r>
          </w:p>
        </w:tc>
      </w:tr>
      <w:tr>
        <w:tc>
          <w:tcPr/>
          <w:p>
            <w:pPr>
              <w:pStyle w:val="Compact"/>
              <w:jc w:val="left"/>
            </w:pPr>
            <w:r>
              <w:t xml:space="preserve">VAT (12% – Kazakhstan Standard Rate)</w:t>
            </w:r>
          </w:p>
        </w:tc>
        <w:tc>
          <w:tcPr/>
          <w:p>
            <w:pPr>
              <w:pStyle w:val="Compact"/>
              <w:jc w:val="right"/>
            </w:pPr>
            <w:r>
              <w:t xml:space="preserve">1,486,560 KZT</w:t>
            </w:r>
          </w:p>
        </w:tc>
      </w:tr>
      <w:tr>
        <w:tc>
          <w:tcPr/>
          <w:p>
            <w:pPr>
              <w:pStyle w:val="Compact"/>
              <w:jc w:val="left"/>
            </w:pPr>
            <w:r>
              <w:t xml:space="preserve">Travel &amp; Accommodation (Almaty Metro Area)</w:t>
            </w:r>
          </w:p>
        </w:tc>
        <w:tc>
          <w:tcPr/>
          <w:p>
            <w:pPr>
              <w:pStyle w:val="Compact"/>
              <w:jc w:val="right"/>
            </w:pPr>
            <w:r>
              <w:t xml:space="preserve">185,000 KZT</w:t>
            </w:r>
          </w:p>
        </w:tc>
      </w:tr>
      <w:tr>
        <w:tc>
          <w:tcPr/>
          <w:p>
            <w:pPr>
              <w:pStyle w:val="Compact"/>
              <w:jc w:val="left"/>
            </w:pPr>
            <w:r>
              <w:t xml:space="preserve">Discount – Long-term Client (5%)</w:t>
            </w:r>
          </w:p>
        </w:tc>
        <w:tc>
          <w:tcPr/>
          <w:p>
            <w:pPr>
              <w:pStyle w:val="Compact"/>
              <w:jc w:val="right"/>
            </w:pPr>
            <w:r>
              <w:t xml:space="preserve">(619,400) KZT</w:t>
            </w:r>
          </w:p>
        </w:tc>
      </w:tr>
      <w:tr>
        <w:tc>
          <w:tcPr/>
          <w:p>
            <w:pPr>
              <w:pStyle w:val="Compact"/>
              <w:jc w:val="left"/>
            </w:pPr>
            <w:r>
              <w:t xml:space="preserve">TOTAL AMOUNT DUE</w:t>
            </w:r>
          </w:p>
        </w:tc>
        <w:tc>
          <w:tcPr/>
          <w:p>
            <w:pPr>
              <w:pStyle w:val="Compact"/>
              <w:jc w:val="right"/>
            </w:pPr>
            <w:r>
              <w:t xml:space="preserve">13,440,160 KZT</w:t>
            </w:r>
          </w:p>
        </w:tc>
      </w:tr>
    </w:tbl>
    <w:bookmarkStart w:id="24" w:name="payment-terms-important-notes"/>
    <w:p>
      <w:pPr>
        <w:pStyle w:val="Heading3"/>
      </w:pPr>
      <w:r>
        <w:t xml:space="preserve">Payment Terms &amp; Important Notes</w:t>
      </w:r>
    </w:p>
    <w:p>
      <w:pPr>
        <w:pStyle w:val="FirstParagraph"/>
      </w:pPr>
      <w:r>
        <w:t xml:space="preserve">This Invoice must be settled in full within fifteen (15) calendar days from the date of issue, no later than 30 June 2025. Payment shall be made via bank transfer to the IBAN specified in the header of this Invoice. The Auditor, Almaty Audit &amp; Compliance Group LLP, reserves the right to suspend ongoing engagement activities if payment is not received by the due date.</w:t>
      </w:r>
    </w:p>
    <w:p>
      <w:pPr>
        <w:numPr>
          <w:ilvl w:val="0"/>
          <w:numId w:val="1001"/>
        </w:numPr>
        <w:pStyle w:val="Compact"/>
      </w:pPr>
      <w:r>
        <w:t xml:space="preserve">All services described in this Invoice were performed by a licensed Auditor registered with the Ministry of Finance of the Republic of Kazakhstan and are subject to the professional standards of the Kazakhstan Institute of Certified Public Accountants (KICPA).</w:t>
      </w:r>
    </w:p>
    <w:p>
      <w:pPr>
        <w:numPr>
          <w:ilvl w:val="0"/>
          <w:numId w:val="1001"/>
        </w:numPr>
        <w:pStyle w:val="Compact"/>
      </w:pPr>
      <w:r>
        <w:t xml:space="preserve">The Auditor confirms that all fieldwork was conducted at the client's registered premises in Kazakhstan Almaty and at the subsidiary location in Astana, in strict compliance with the Audit Law No. 14-VI of 2015 of the Republic of Kazakhstan.</w:t>
      </w:r>
    </w:p>
    <w:p>
      <w:pPr>
        <w:numPr>
          <w:ilvl w:val="0"/>
          <w:numId w:val="1001"/>
        </w:numPr>
        <w:pStyle w:val="Compact"/>
      </w:pPr>
      <w:r>
        <w:t xml:space="preserve">This Invoice constitutes a legally binding financial document under the Civil Code of the Republic of Kazakhstan. In the event of a dispute, the parties agree to submit the matter to the Arbitration Court of Almaty City, Kazakhstan Almaty, as the exclusive jurisdiction.</w:t>
      </w:r>
    </w:p>
    <w:p>
      <w:pPr>
        <w:numPr>
          <w:ilvl w:val="0"/>
          <w:numId w:val="1001"/>
        </w:numPr>
        <w:pStyle w:val="Compact"/>
      </w:pPr>
      <w:r>
        <w:t xml:space="preserve">The Auditor's professional indemnity insurance (Policy No. KZ-PI-2025-00891, issued by Kazakh Life Insurance Company) covers all services rendered under this engagement. A certificate of insurance is available upon written request.</w:t>
      </w:r>
    </w:p>
    <w:p>
      <w:pPr>
        <w:numPr>
          <w:ilvl w:val="0"/>
          <w:numId w:val="1001"/>
        </w:numPr>
        <w:pStyle w:val="Compact"/>
      </w:pPr>
      <w:r>
        <w:t xml:space="preserve">Any late payment shall accrue interest at the rate of 1.5% per month, calculated from the due date until the date of actual payment, in accordance with Article 317 of the Civil Code of Kazakhstan.</w:t>
      </w:r>
    </w:p>
    <w:p>
      <w:pPr>
        <w:numPr>
          <w:ilvl w:val="0"/>
          <w:numId w:val="1001"/>
        </w:numPr>
        <w:pStyle w:val="Compact"/>
      </w:pPr>
      <w:r>
        <w:t xml:space="preserve">The Auditor warrants that all findings, opinions, and reports delivered under this engagement are independent, objective, and free from any conflict of interest, as required by the ethical code of the KICPA.</w:t>
      </w:r>
    </w:p>
    <w:p>
      <w:pPr>
        <w:pStyle w:val="FirstParagraph"/>
      </w:pPr>
      <w:r>
        <w:rPr>
          <w:bCs/>
          <w:b/>
        </w:rPr>
        <w:t xml:space="preserve">Authorized Signatory:</w:t>
      </w:r>
      <w:r>
        <w:t xml:space="preserve"> </w:t>
      </w:r>
      <w:r>
        <w:t xml:space="preserve">Ms. Aigerim Nurlanova, Lead Auditor &amp; Managing Partner, Almaty Audit &amp; Compliance Group LLP. Signature and company seal affixed on the original document. This electronic copy of the Invoice carries the same legal weight as the signed original under the Law of the Republic of Kazakhstan on Electronic Documents and Electronic Interactions.</w:t>
      </w:r>
    </w:p>
    <w:bookmarkEnd w:id="24"/>
    <w:p>
      <w:pPr>
        <w:pStyle w:val="BodyText"/>
      </w:pPr>
      <w:r>
        <w:rPr>
          <w:bCs/>
          <w:b/>
        </w:rPr>
        <w:t xml:space="preserve">Almaty Audit &amp; Compliance Group LLP</w:t>
      </w:r>
      <w:r>
        <w:t xml:space="preserve"> </w:t>
      </w:r>
      <w:r>
        <w:t xml:space="preserve">| 145 Abai Avenue, Almaty, 050040, Kazakhstan</w:t>
      </w:r>
    </w:p>
    <w:p>
      <w:pPr>
        <w:pStyle w:val="BodyText"/>
      </w:pPr>
      <w:r>
        <w:t xml:space="preserve">Registered with the Almaty City Department of Justice | License No. KZ-AUD-2019-00342 | BIN: 990845001234</w:t>
      </w:r>
    </w:p>
    <w:p>
      <w:pPr>
        <w:pStyle w:val="BodyText"/>
      </w:pPr>
      <w:r>
        <w:t xml:space="preserve">This Invoice was generated electronically on 15 June 2025. For queries regarding this Invoice, please contact billing@almatyaudit.kz or +7 (727) 312-45-67.</w:t>
      </w:r>
    </w:p>
    <w:p>
      <w:pPr>
        <w:pStyle w:val="BodyText"/>
      </w:pPr>
      <w:r>
        <w:t xml:space="preserve">© 2025 Almaty Audit &amp; Compliance Group LLP. All rights reserved. This document is the property of the issuing Auditor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Kazakhstan Almaty</dc:title>
  <dc:creator/>
  <dc:language>en</dc:language>
  <cp:keywords/>
  <dcterms:created xsi:type="dcterms:W3CDTF">2026-10-10T09:09:47Z</dcterms:created>
  <dcterms:modified xsi:type="dcterms:W3CDTF">2026-10-10T09:09:47Z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