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meridian-audit-advisory-llp"/>
    <w:p>
      <w:pPr>
        <w:pStyle w:val="Heading1"/>
      </w:pPr>
      <w:r>
        <w:t xml:space="preserve">Meridian Audit &amp; Advisory LLP</w:t>
      </w:r>
    </w:p>
    <w:p>
      <w:pPr>
        <w:pStyle w:val="FirstParagraph"/>
      </w:pPr>
      <w:r>
        <w:t xml:space="preserve">Licensed Auditor Firm – PRA License No. AUD/2019/0447</w:t>
      </w:r>
    </w:p>
    <w:p>
      <w:pPr>
        <w:pStyle w:val="BodyText"/>
      </w:pPr>
      <w:r>
        <w:t xml:space="preserve">Waiyaki Way, 4th Floor, Meridian Tower</w:t>
      </w:r>
    </w:p>
    <w:p>
      <w:pPr>
        <w:pStyle w:val="BodyText"/>
      </w:pPr>
      <w:r>
        <w:t xml:space="preserve">Westlands, Kenya Nairobi, P.O. Box 12345-00100</w:t>
      </w:r>
    </w:p>
    <w:p>
      <w:pPr>
        <w:pStyle w:val="BodyText"/>
      </w:pPr>
      <w:r>
        <w:t xml:space="preserve">Tel: +254 700 123 456 | Email: billing@meridianaudit.co.ke</w:t>
      </w:r>
    </w:p>
    <w:p>
      <w:pPr>
        <w:pStyle w:val="BodyText"/>
      </w:pPr>
      <w:r>
        <w:t xml:space="preserve">KRA PIN: P051234567X | VAT Reg: 20190045678</w:t>
      </w:r>
    </w:p>
    <w:bookmarkEnd w:id="20"/>
    <w:bookmarkStart w:id="21" w:name="invoice"/>
    <w:p>
      <w:pPr>
        <w:pStyle w:val="Heading2"/>
      </w:pPr>
      <w:r>
        <w:t xml:space="preserve">INVOICE</w:t>
      </w:r>
    </w:p>
    <w:p>
      <w:pPr>
        <w:pStyle w:val="FirstParagraph"/>
      </w:pPr>
      <w:r>
        <w:t xml:space="preserve">Professional Services</w:t>
      </w:r>
    </w:p>
    <w:p>
      <w:pPr>
        <w:pStyle w:val="BodyText"/>
      </w:pPr>
      <w:r>
        <w:t xml:space="preserve">Invoice No: MA-INV-2025-00847</w:t>
      </w:r>
    </w:p>
    <w:p>
      <w:pPr>
        <w:pStyle w:val="BodyText"/>
      </w:pPr>
      <w:r>
        <w:t xml:space="preserve">Date Issued: 15 June 2025</w:t>
      </w:r>
    </w:p>
    <w:p>
      <w:pPr>
        <w:pStyle w:val="BodyText"/>
      </w:pPr>
      <w:r>
        <w:t xml:space="preserve">Due Date: 30 June 2025</w:t>
      </w:r>
    </w:p>
    <w:bookmarkEnd w:id="21"/>
    <w:bookmarkStart w:id="22" w:name="billed-to"/>
    <w:p>
      <w:pPr>
        <w:pStyle w:val="Heading3"/>
      </w:pPr>
      <w:r>
        <w:t xml:space="preserve">Billed To</w:t>
      </w:r>
    </w:p>
    <w:p>
      <w:pPr>
        <w:pStyle w:val="FirstParagraph"/>
      </w:pPr>
      <w:r>
        <w:rPr>
          <w:bCs/>
          <w:b/>
        </w:rPr>
        <w:t xml:space="preserve">Savannah Holdings Limited</w:t>
      </w:r>
    </w:p>
    <w:p>
      <w:pPr>
        <w:pStyle w:val="BodyText"/>
      </w:pPr>
      <w:r>
        <w:t xml:space="preserve">Attn: Mr. James Mwangi, Chief Financial Officer</w:t>
      </w:r>
    </w:p>
    <w:p>
      <w:pPr>
        <w:pStyle w:val="BodyText"/>
      </w:pPr>
      <w:r>
        <w:t xml:space="preserve">Kenya House, 2nd Floor, Upper Hill</w:t>
      </w:r>
    </w:p>
    <w:p>
      <w:pPr>
        <w:pStyle w:val="BodyText"/>
      </w:pPr>
      <w:r>
        <w:t xml:space="preserve">Kenya Nairobi, P.O. Box 67890-00100</w:t>
      </w:r>
    </w:p>
    <w:p>
      <w:pPr>
        <w:pStyle w:val="BodyText"/>
      </w:pPr>
      <w:r>
        <w:t xml:space="preserve">Tel: +254 722 987 654</w:t>
      </w:r>
    </w:p>
    <w:p>
      <w:pPr>
        <w:pStyle w:val="BodyText"/>
      </w:pPr>
      <w:r>
        <w:t xml:space="preserve">KRA PIN: P109876543Z</w:t>
      </w:r>
    </w:p>
    <w:bookmarkEnd w:id="22"/>
    <w:bookmarkStart w:id="23" w:name="engagement-details"/>
    <w:p>
      <w:pPr>
        <w:pStyle w:val="Heading3"/>
      </w:pPr>
      <w:r>
        <w:t xml:space="preserve">Engagement Details</w:t>
      </w:r>
    </w:p>
    <w:p>
      <w:pPr>
        <w:pStyle w:val="FirstParagraph"/>
      </w:pPr>
      <w:r>
        <w:t xml:space="preserve">Engagement Ref: AUD/SHL/2025/012</w:t>
      </w:r>
    </w:p>
    <w:p>
      <w:pPr>
        <w:pStyle w:val="BodyText"/>
      </w:pPr>
      <w:r>
        <w:t xml:space="preserve">Service Period: 1 March 2025 – 31 May 2025</w:t>
      </w:r>
    </w:p>
    <w:p>
      <w:pPr>
        <w:pStyle w:val="BodyText"/>
      </w:pPr>
      <w:r>
        <w:t xml:space="preserve">Lead Auditor: Ms. Grace Wanjiku, CPA(K)</w:t>
      </w:r>
    </w:p>
    <w:p>
      <w:pPr>
        <w:pStyle w:val="BodyText"/>
      </w:pPr>
      <w:r>
        <w:t xml:space="preserve">Scope: Annual Financial Audit &amp; Compliance Review</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Services Rendered</w:t>
            </w:r>
          </w:p>
        </w:tc>
        <w:tc>
          <w:tcPr/>
          <w:p>
            <w:pPr>
              <w:pStyle w:val="Compact"/>
              <w:jc w:val="left"/>
            </w:pPr>
            <w:r>
              <w:t xml:space="preserve">Rate (KES)</w:t>
            </w:r>
          </w:p>
        </w:tc>
        <w:tc>
          <w:tcPr/>
          <w:p>
            <w:pPr>
              <w:pStyle w:val="Compact"/>
              <w:jc w:val="left"/>
            </w:pPr>
            <w:r>
              <w:t xml:space="preserve">Hours / Units</w:t>
            </w:r>
          </w:p>
        </w:tc>
        <w:tc>
          <w:tcPr/>
          <w:p>
            <w:pPr>
              <w:pStyle w:val="Compact"/>
              <w:jc w:val="left"/>
            </w:pPr>
            <w:r>
              <w:t xml:space="preserve">Amount (KES)</w:t>
            </w:r>
          </w:p>
        </w:tc>
        <w:tc>
          <w:tcPr/>
          <w:p>
            <w:pPr>
              <w:pStyle w:val="Compact"/>
              <w:jc w:val="left"/>
            </w:pPr>
            <w:r>
              <w:t xml:space="preserve">VAT 16% (KES)</w:t>
            </w:r>
          </w:p>
        </w:tc>
      </w:tr>
      <w:tr>
        <w:tc>
          <w:tcPr/>
          <w:p>
            <w:pPr>
              <w:pStyle w:val="Compact"/>
              <w:jc w:val="left"/>
            </w:pPr>
            <w:r>
              <w:t xml:space="preserve">1</w:t>
            </w:r>
          </w:p>
        </w:tc>
        <w:tc>
          <w:tcPr/>
          <w:p>
            <w:pPr>
              <w:pStyle w:val="Compact"/>
              <w:jc w:val="left"/>
            </w:pPr>
            <w:r>
              <w:t xml:space="preserve">Annual statutory audit of financial statements for the fiscal year ended 31 December 2024, conducted in accordance with International Standards on Auditing (ISA) as adopted in Kenya Nairobi by the Institute of Certified Public Accountants of Kenya (ICPAK).</w:t>
            </w:r>
          </w:p>
        </w:tc>
        <w:tc>
          <w:tcPr/>
          <w:p>
            <w:pPr>
              <w:pStyle w:val="Compact"/>
              <w:jc w:val="left"/>
            </w:pPr>
            <w:r>
              <w:t xml:space="preserve">4,500.00</w:t>
            </w:r>
          </w:p>
        </w:tc>
        <w:tc>
          <w:tcPr/>
          <w:p>
            <w:pPr>
              <w:pStyle w:val="Compact"/>
              <w:jc w:val="left"/>
            </w:pPr>
            <w:r>
              <w:t xml:space="preserve">120 hrs</w:t>
            </w:r>
          </w:p>
        </w:tc>
        <w:tc>
          <w:tcPr/>
          <w:p>
            <w:pPr>
              <w:pStyle w:val="Compact"/>
              <w:jc w:val="left"/>
            </w:pPr>
            <w:r>
              <w:t xml:space="preserve">540,000.00</w:t>
            </w:r>
          </w:p>
        </w:tc>
        <w:tc>
          <w:tcPr/>
          <w:p>
            <w:pPr>
              <w:pStyle w:val="Compact"/>
              <w:jc w:val="left"/>
            </w:pPr>
            <w:r>
              <w:t xml:space="preserve">86,400.00</w:t>
            </w:r>
          </w:p>
        </w:tc>
      </w:tr>
      <w:tr>
        <w:tc>
          <w:tcPr/>
          <w:p>
            <w:pPr>
              <w:pStyle w:val="Compact"/>
              <w:jc w:val="left"/>
            </w:pPr>
            <w:r>
              <w:t xml:space="preserve">2</w:t>
            </w:r>
          </w:p>
        </w:tc>
        <w:tc>
          <w:tcPr/>
          <w:p>
            <w:pPr>
              <w:pStyle w:val="Compact"/>
              <w:jc w:val="left"/>
            </w:pPr>
            <w:r>
              <w:t xml:space="preserve">Internal control assessment and risk-based audit planning. The Auditor team performed walkthroughs of key financial processes at the client's Kenya Nairobi headquarters and two regional branches in Mombasa and Kisumu.</w:t>
            </w:r>
          </w:p>
        </w:tc>
        <w:tc>
          <w:tcPr/>
          <w:p>
            <w:pPr>
              <w:pStyle w:val="Compact"/>
              <w:jc w:val="left"/>
            </w:pPr>
            <w:r>
              <w:t xml:space="preserve">4,500.00</w:t>
            </w:r>
          </w:p>
        </w:tc>
        <w:tc>
          <w:tcPr/>
          <w:p>
            <w:pPr>
              <w:pStyle w:val="Compact"/>
              <w:jc w:val="left"/>
            </w:pPr>
            <w:r>
              <w:t xml:space="preserve">48 hrs</w:t>
            </w:r>
          </w:p>
        </w:tc>
        <w:tc>
          <w:tcPr/>
          <w:p>
            <w:pPr>
              <w:pStyle w:val="Compact"/>
              <w:jc w:val="left"/>
            </w:pPr>
            <w:r>
              <w:t xml:space="preserve">216,000.00</w:t>
            </w:r>
          </w:p>
        </w:tc>
        <w:tc>
          <w:tcPr/>
          <w:p>
            <w:pPr>
              <w:pStyle w:val="Compact"/>
              <w:jc w:val="left"/>
            </w:pPr>
            <w:r>
              <w:t xml:space="preserve">34,560.00</w:t>
            </w:r>
          </w:p>
        </w:tc>
      </w:tr>
      <w:tr>
        <w:tc>
          <w:tcPr/>
          <w:p>
            <w:pPr>
              <w:pStyle w:val="Compact"/>
              <w:jc w:val="left"/>
            </w:pPr>
            <w:r>
              <w:t xml:space="preserve">3</w:t>
            </w:r>
          </w:p>
        </w:tc>
        <w:tc>
          <w:tcPr/>
          <w:p>
            <w:pPr>
              <w:pStyle w:val="Compact"/>
              <w:jc w:val="left"/>
            </w:pPr>
            <w:r>
              <w:t xml:space="preserve">Compliance review under the Companies Act 2015, Income Tax Act (Cap 470), and Value Added Tax Act (Cap 476). The Auditor verified statutory filings, withholding tax remittances, and PAYE declarations submitted to the Kenya Revenue Authority (KRA).</w:t>
            </w:r>
          </w:p>
        </w:tc>
        <w:tc>
          <w:tcPr/>
          <w:p>
            <w:pPr>
              <w:pStyle w:val="Compact"/>
              <w:jc w:val="left"/>
            </w:pPr>
            <w:r>
              <w:t xml:space="preserve">4,500.00</w:t>
            </w:r>
          </w:p>
        </w:tc>
        <w:tc>
          <w:tcPr/>
          <w:p>
            <w:pPr>
              <w:pStyle w:val="Compact"/>
              <w:jc w:val="left"/>
            </w:pPr>
            <w:r>
              <w:t xml:space="preserve">36 hrs</w:t>
            </w:r>
          </w:p>
        </w:tc>
        <w:tc>
          <w:tcPr/>
          <w:p>
            <w:pPr>
              <w:pStyle w:val="Compact"/>
              <w:jc w:val="left"/>
            </w:pPr>
            <w:r>
              <w:t xml:space="preserve">162,000.00</w:t>
            </w:r>
          </w:p>
        </w:tc>
        <w:tc>
          <w:tcPr/>
          <w:p>
            <w:pPr>
              <w:pStyle w:val="Compact"/>
              <w:jc w:val="left"/>
            </w:pPr>
            <w:r>
              <w:t xml:space="preserve">25,920.00</w:t>
            </w:r>
          </w:p>
        </w:tc>
      </w:tr>
      <w:tr>
        <w:tc>
          <w:tcPr/>
          <w:p>
            <w:pPr>
              <w:pStyle w:val="Compact"/>
              <w:jc w:val="left"/>
            </w:pPr>
            <w:r>
              <w:t xml:space="preserve">4</w:t>
            </w:r>
          </w:p>
        </w:tc>
        <w:tc>
          <w:tcPr/>
          <w:p>
            <w:pPr>
              <w:pStyle w:val="Compact"/>
              <w:jc w:val="left"/>
            </w:pPr>
            <w:r>
              <w:t xml:space="preserve">Inventory and fixed asset verification. The Auditor conducted physical stock counts at the client's warehouse facilities in Industrial Area, Kenya Nairobi, and reconciled asset registers against the general ledger.</w:t>
            </w:r>
          </w:p>
        </w:tc>
        <w:tc>
          <w:tcPr/>
          <w:p>
            <w:pPr>
              <w:pStyle w:val="Compact"/>
              <w:jc w:val="left"/>
            </w:pPr>
            <w:r>
              <w:t xml:space="preserve">4,500.00</w:t>
            </w:r>
          </w:p>
        </w:tc>
        <w:tc>
          <w:tcPr/>
          <w:p>
            <w:pPr>
              <w:pStyle w:val="Compact"/>
              <w:jc w:val="left"/>
            </w:pPr>
            <w:r>
              <w:t xml:space="preserve">24 hrs</w:t>
            </w:r>
          </w:p>
        </w:tc>
        <w:tc>
          <w:tcPr/>
          <w:p>
            <w:pPr>
              <w:pStyle w:val="Compact"/>
              <w:jc w:val="left"/>
            </w:pPr>
            <w:r>
              <w:t xml:space="preserve">108,000.00</w:t>
            </w:r>
          </w:p>
        </w:tc>
        <w:tc>
          <w:tcPr/>
          <w:p>
            <w:pPr>
              <w:pStyle w:val="Compact"/>
              <w:jc w:val="left"/>
            </w:pPr>
            <w:r>
              <w:t xml:space="preserve">17,280.00</w:t>
            </w:r>
          </w:p>
        </w:tc>
      </w:tr>
      <w:tr>
        <w:tc>
          <w:tcPr/>
          <w:p>
            <w:pPr>
              <w:pStyle w:val="Compact"/>
              <w:jc w:val="left"/>
            </w:pPr>
            <w:r>
              <w:t xml:space="preserve">5</w:t>
            </w:r>
          </w:p>
        </w:tc>
        <w:tc>
          <w:tcPr/>
          <w:p>
            <w:pPr>
              <w:pStyle w:val="Compact"/>
              <w:jc w:val="left"/>
            </w:pPr>
            <w:r>
              <w:t xml:space="preserve">Preparation and issuance of the Auditor's report, management letter, and audit findings memorandum. Includes recommendations for strengthening internal governance structures and financial reporting processes.</w:t>
            </w:r>
          </w:p>
        </w:tc>
        <w:tc>
          <w:tcPr/>
          <w:p>
            <w:pPr>
              <w:pStyle w:val="Compact"/>
              <w:jc w:val="left"/>
            </w:pPr>
            <w:r>
              <w:t xml:space="preserve">4,500.00</w:t>
            </w:r>
          </w:p>
        </w:tc>
        <w:tc>
          <w:tcPr/>
          <w:p>
            <w:pPr>
              <w:pStyle w:val="Compact"/>
              <w:jc w:val="left"/>
            </w:pPr>
            <w:r>
              <w:t xml:space="preserve">20 hrs</w:t>
            </w:r>
          </w:p>
        </w:tc>
        <w:tc>
          <w:tcPr/>
          <w:p>
            <w:pPr>
              <w:pStyle w:val="Compact"/>
              <w:jc w:val="left"/>
            </w:pPr>
            <w:r>
              <w:t xml:space="preserve">90,000.00</w:t>
            </w:r>
          </w:p>
        </w:tc>
        <w:tc>
          <w:tcPr/>
          <w:p>
            <w:pPr>
              <w:pStyle w:val="Compact"/>
              <w:jc w:val="left"/>
            </w:pPr>
            <w:r>
              <w:t xml:space="preserve">14,400.00</w:t>
            </w:r>
          </w:p>
        </w:tc>
      </w:tr>
      <w:tr>
        <w:tc>
          <w:tcPr/>
          <w:p>
            <w:pPr>
              <w:pStyle w:val="Compact"/>
              <w:jc w:val="left"/>
            </w:pPr>
            <w:r>
              <w:t xml:space="preserve">6</w:t>
            </w:r>
          </w:p>
        </w:tc>
        <w:tc>
          <w:tcPr/>
          <w:p>
            <w:pPr>
              <w:pStyle w:val="Compact"/>
              <w:jc w:val="left"/>
            </w:pPr>
            <w:r>
              <w:t xml:space="preserve">Travel, accommodation, and logistical expenses incurred by the Auditor team during fieldwork at client premises in Kenya Nairobi and regional offices. Includes transport, per diem, and document reproduction costs.</w:t>
            </w:r>
          </w:p>
        </w:tc>
        <w:tc>
          <w:tcPr/>
          <w:p>
            <w:pPr>
              <w:pStyle w:val="Compact"/>
              <w:jc w:val="left"/>
            </w:pPr>
            <w:r>
              <w:t xml:space="preserve">1.00</w:t>
            </w:r>
          </w:p>
        </w:tc>
        <w:tc>
          <w:tcPr/>
          <w:p>
            <w:pPr>
              <w:pStyle w:val="Compact"/>
              <w:jc w:val="left"/>
            </w:pPr>
            <w:r>
              <w:t xml:space="preserve">Flat</w:t>
            </w:r>
          </w:p>
        </w:tc>
        <w:tc>
          <w:tcPr/>
          <w:p>
            <w:pPr>
              <w:pStyle w:val="Compact"/>
              <w:jc w:val="left"/>
            </w:pPr>
            <w:r>
              <w:t xml:space="preserve">45,000.00</w:t>
            </w:r>
          </w:p>
        </w:tc>
        <w:tc>
          <w:tcPr/>
          <w:p>
            <w:pPr>
              <w:pStyle w:val="Compact"/>
              <w:jc w:val="left"/>
            </w:pPr>
            <w:r>
              <w:t xml:space="preserve">7,200.00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left"/>
            </w:pPr>
            <w:r>
              <w:t xml:space="preserve">1,161,000.00</w:t>
            </w:r>
          </w:p>
        </w:tc>
      </w:tr>
      <w:tr>
        <w:tc>
          <w:tcPr/>
          <w:p>
            <w:pPr>
              <w:pStyle w:val="Compact"/>
              <w:jc w:val="left"/>
            </w:pPr>
            <w:r>
              <w:t xml:space="preserve">VAT @ 16%</w:t>
            </w:r>
          </w:p>
        </w:tc>
        <w:tc>
          <w:tcPr/>
          <w:p>
            <w:pPr>
              <w:pStyle w:val="Compact"/>
              <w:jc w:val="left"/>
            </w:pPr>
            <w:r>
              <w:t xml:space="preserve">185,760.00</w:t>
            </w:r>
          </w:p>
        </w:tc>
      </w:tr>
      <w:tr>
        <w:tc>
          <w:tcPr/>
          <w:p>
            <w:pPr>
              <w:pStyle w:val="Compact"/>
              <w:jc w:val="left"/>
            </w:pPr>
            <w:r>
              <w:t xml:space="preserve">Withholding Tax @ 5% (as applicable)</w:t>
            </w:r>
          </w:p>
        </w:tc>
        <w:tc>
          <w:tcPr/>
          <w:p>
            <w:pPr>
              <w:pStyle w:val="Compact"/>
              <w:jc w:val="left"/>
            </w:pPr>
            <w:r>
              <w:t xml:space="preserve">(58,050.00)</w:t>
            </w:r>
          </w:p>
        </w:tc>
      </w:tr>
      <w:tr>
        <w:tc>
          <w:tcPr/>
          <w:p>
            <w:pPr>
              <w:pStyle w:val="Compact"/>
              <w:jc w:val="left"/>
            </w:pPr>
            <w:r>
              <w:t xml:space="preserve">NET AMOUNT DUE (KES)</w:t>
            </w:r>
          </w:p>
        </w:tc>
        <w:tc>
          <w:tcPr/>
          <w:p>
            <w:pPr>
              <w:pStyle w:val="Compact"/>
              <w:jc w:val="left"/>
            </w:pPr>
            <w:r>
              <w:t xml:space="preserve">1,288,710.00</w:t>
            </w:r>
          </w:p>
        </w:tc>
      </w:tr>
    </w:tbl>
    <w:bookmarkStart w:id="24" w:name="invoice-notes-terms-of-engagement"/>
    <w:p>
      <w:pPr>
        <w:pStyle w:val="Heading3"/>
      </w:pPr>
      <w:r>
        <w:t xml:space="preserve">Invoice Notes &amp; Terms of Engagement</w:t>
      </w:r>
    </w:p>
    <w:p>
      <w:pPr>
        <w:pStyle w:val="FirstParagraph"/>
      </w:pPr>
      <w:r>
        <w:t xml:space="preserve">This Invoice is issued by Meridian Audit &amp; Advisory LLP, a licensed Auditor firm registered with the Professional Regulatory Authority (PRA) of Kenya, operating from its principal office in Kenya Nairobi. All audit procedures were performed in strict compliance with the ICPAK Code of Ethics and International Standards on Auditing.</w:t>
      </w:r>
    </w:p>
    <w:p>
      <w:pPr>
        <w:numPr>
          <w:ilvl w:val="0"/>
          <w:numId w:val="1001"/>
        </w:numPr>
        <w:pStyle w:val="Compact"/>
      </w:pPr>
      <w:r>
        <w:t xml:space="preserve">Payment is due within fourteen (14) calendar days from the date of this Invoice. Late payments shall attract interest at the rate of 2% per month as stipulated in the engagement letter.</w:t>
      </w:r>
    </w:p>
    <w:p>
      <w:pPr>
        <w:numPr>
          <w:ilvl w:val="0"/>
          <w:numId w:val="1001"/>
        </w:numPr>
        <w:pStyle w:val="Compact"/>
      </w:pPr>
      <w:r>
        <w:t xml:space="preserve">The Auditor's report and all working papers remain the intellectual property of Meridian Audit &amp; Advisory LLP. A copy of the final Auditor's report has been delivered to the client's Board of Directors.</w:t>
      </w:r>
    </w:p>
    <w:p>
      <w:pPr>
        <w:numPr>
          <w:ilvl w:val="0"/>
          <w:numId w:val="1001"/>
        </w:numPr>
        <w:pStyle w:val="Compact"/>
      </w:pPr>
      <w:r>
        <w:t xml:space="preserve">This Invoice is subject to the terms outlined in the signed Engagement Letter dated 20 February 2025. Any disputes shall be resolved through arbitration in Kenya Nairobi under the Arbitration Act, 1995.</w:t>
      </w:r>
    </w:p>
    <w:p>
      <w:pPr>
        <w:numPr>
          <w:ilvl w:val="0"/>
          <w:numId w:val="1001"/>
        </w:numPr>
        <w:pStyle w:val="Compact"/>
      </w:pPr>
      <w:r>
        <w:t xml:space="preserve">The Auditor confirms that no material misstatements were identified during the audit period. Minor observations are detailed in the accompanying Management Letter (Ref: ML/SHL/2025/003).</w:t>
      </w:r>
    </w:p>
    <w:p>
      <w:pPr>
        <w:numPr>
          <w:ilvl w:val="0"/>
          <w:numId w:val="1001"/>
        </w:numPr>
        <w:pStyle w:val="Compact"/>
      </w:pPr>
      <w:r>
        <w:t xml:space="preserve">Withholding tax of 5% has been deducted at source in accordance with Section 3(1) of the Income Tax Act, Cap 470, and will be remitted to KRA by the client within the prescribed period.</w:t>
      </w:r>
    </w:p>
    <w:bookmarkEnd w:id="24"/>
    <w:bookmarkStart w:id="25" w:name="bank-details-for-payment"/>
    <w:p>
      <w:pPr>
        <w:pStyle w:val="Heading3"/>
      </w:pPr>
      <w:r>
        <w:t xml:space="preserve">Bank Details for Payment</w:t>
      </w:r>
    </w:p>
    <w:p>
      <w:pPr>
        <w:pStyle w:val="FirstParagraph"/>
      </w:pPr>
      <w:r>
        <w:rPr>
          <w:bCs/>
          <w:b/>
        </w:rPr>
        <w:t xml:space="preserve">Bank:</w:t>
      </w:r>
      <w:r>
        <w:t xml:space="preserve"> </w:t>
      </w:r>
      <w:r>
        <w:t xml:space="preserve">Equity Bank PLC</w:t>
      </w:r>
    </w:p>
    <w:p>
      <w:pPr>
        <w:pStyle w:val="BodyText"/>
      </w:pPr>
      <w:r>
        <w:rPr>
          <w:bCs/>
          <w:b/>
        </w:rPr>
        <w:t xml:space="preserve">Account Name:</w:t>
      </w:r>
      <w:r>
        <w:t xml:space="preserve"> </w:t>
      </w:r>
      <w:r>
        <w:t xml:space="preserve">Meridian Audit &amp; Advisory LLP</w:t>
      </w:r>
    </w:p>
    <w:p>
      <w:pPr>
        <w:pStyle w:val="BodyText"/>
      </w:pPr>
      <w:r>
        <w:rPr>
          <w:bCs/>
          <w:b/>
        </w:rPr>
        <w:t xml:space="preserve">Account Number:</w:t>
      </w:r>
      <w:r>
        <w:t xml:space="preserve"> </w:t>
      </w:r>
      <w:r>
        <w:t xml:space="preserve">0123456789</w:t>
      </w:r>
    </w:p>
    <w:p>
      <w:pPr>
        <w:pStyle w:val="BodyText"/>
      </w:pPr>
      <w:r>
        <w:rPr>
          <w:bCs/>
          <w:b/>
        </w:rPr>
        <w:t xml:space="preserve">Branch:</w:t>
      </w:r>
      <w:r>
        <w:t xml:space="preserve"> </w:t>
      </w:r>
      <w:r>
        <w:t xml:space="preserve">Westlands, Kenya Nairobi</w:t>
      </w:r>
    </w:p>
    <w:p>
      <w:pPr>
        <w:pStyle w:val="BodyText"/>
      </w:pPr>
      <w:r>
        <w:rPr>
          <w:bCs/>
          <w:b/>
        </w:rPr>
        <w:t xml:space="preserve">SWIFT Code:</w:t>
      </w:r>
      <w:r>
        <w:t xml:space="preserve"> </w:t>
      </w:r>
      <w:r>
        <w:t xml:space="preserve">EQBKKEKE</w:t>
      </w:r>
    </w:p>
    <w:bookmarkEnd w:id="25"/>
    <w:bookmarkStart w:id="26" w:name="payment-reference"/>
    <w:p>
      <w:pPr>
        <w:pStyle w:val="Heading3"/>
      </w:pPr>
      <w:r>
        <w:t xml:space="preserve">Payment Reference</w:t>
      </w:r>
    </w:p>
    <w:p>
      <w:pPr>
        <w:pStyle w:val="FirstParagraph"/>
      </w:pPr>
      <w:r>
        <w:t xml:space="preserve">Please quote Invoice No:</w:t>
      </w:r>
      <w:r>
        <w:t xml:space="preserve"> </w:t>
      </w:r>
      <w:r>
        <w:rPr>
          <w:bCs/>
          <w:b/>
        </w:rPr>
        <w:t xml:space="preserve">MA-INV-2025-00847</w:t>
      </w:r>
    </w:p>
    <w:p>
      <w:pPr>
        <w:pStyle w:val="BodyText"/>
      </w:pPr>
      <w:r>
        <w:t xml:space="preserve">and Engagement Ref:</w:t>
      </w:r>
      <w:r>
        <w:t xml:space="preserve"> </w:t>
      </w:r>
      <w:r>
        <w:rPr>
          <w:bCs/>
          <w:b/>
        </w:rPr>
        <w:t xml:space="preserve">AUD/SHL/2025/012</w:t>
      </w:r>
    </w:p>
    <w:p>
      <w:pPr>
        <w:pStyle w:val="BodyText"/>
      </w:pPr>
      <w:r>
        <w:t xml:space="preserve">on all remittances to ensure proper reconciliation.</w:t>
      </w:r>
    </w:p>
    <w:bookmarkEnd w:id="26"/>
    <w:p>
      <w:pPr>
        <w:pStyle w:val="BodyText"/>
      </w:pPr>
      <w:r>
        <w:rPr>
          <w:bCs/>
          <w:b/>
        </w:rPr>
        <w:t xml:space="preserve">Meridian Audit &amp; Advisory LLP</w:t>
      </w:r>
      <w:r>
        <w:t xml:space="preserve"> </w:t>
      </w:r>
      <w:r>
        <w:t xml:space="preserve">– Licensed Auditor Firm | PRA License No. AUD/2019/0447</w:t>
      </w:r>
    </w:p>
    <w:p>
      <w:pPr>
        <w:pStyle w:val="BodyText"/>
      </w:pPr>
      <w:r>
        <w:t xml:space="preserve">Registered Office: Waiyaki Way, Meridian Tower, 4th Floor, Westlands, Kenya Nairobi, P.O. Box 12345-00100</w:t>
      </w:r>
    </w:p>
    <w:p>
      <w:pPr>
        <w:pStyle w:val="BodyText"/>
      </w:pPr>
      <w:r>
        <w:t xml:space="preserve">This Invoice is generated electronically and is valid without a physical signature. For queries, contact billing@meridianaudit.co.ke or call +254 700 123 456.</w:t>
      </w:r>
    </w:p>
    <w:p>
      <w:pPr>
        <w:pStyle w:val="BodyText"/>
      </w:pPr>
      <w:r>
        <w:t xml:space="preserve">© 2025 Meridian Audit &amp; Advisory LLP. All rights reserved. This document constitutes a formal Invoice for professional Auditor services rendered in Kenya Nairobi.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Kenya Nairobi</dc:title>
  <dc:creator/>
  <dc:language>en</dc:language>
  <cp:keywords/>
  <dcterms:created xsi:type="dcterms:W3CDTF">2026-10-10T02:23:24Z</dcterms:created>
  <dcterms:modified xsi:type="dcterms:W3CDTF">2026-10-10T02:23:24Z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