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meridian-audit-advisory-sdn.-bhd."/>
    <w:p>
      <w:pPr>
        <w:pStyle w:val="Heading1"/>
      </w:pPr>
      <w:r>
        <w:t xml:space="preserve">Meridian Audit &amp; Advisory Sdn. Bhd.</w:t>
      </w:r>
    </w:p>
    <w:p>
      <w:pPr>
        <w:pStyle w:val="FirstParagraph"/>
      </w:pPr>
      <w:r>
        <w:t xml:space="preserve">Licensed Auditor Firm | Registration No. 201901045678</w:t>
      </w:r>
    </w:p>
    <w:p>
      <w:pPr>
        <w:pStyle w:val="BodyText"/>
      </w:pPr>
      <w:r>
        <w:t xml:space="preserve">Level 24, Menara KL, No. 12, Jalan Ampang</w:t>
      </w:r>
    </w:p>
    <w:p>
      <w:pPr>
        <w:pStyle w:val="BodyText"/>
      </w:pPr>
      <w:r>
        <w:t xml:space="preserve">50450 Malaysia Kuala Lumpur, Wilayah Persekutuan</w:t>
      </w:r>
    </w:p>
    <w:p>
      <w:pPr>
        <w:pStyle w:val="BodyText"/>
      </w:pPr>
      <w:r>
        <w:t xml:space="preserve">Tel: +603-2180-4567 | Email: billing@meridianaudit.my</w:t>
      </w:r>
    </w:p>
    <w:p>
      <w:pPr>
        <w:pStyle w:val="BodyText"/>
      </w:pPr>
      <w:r>
        <w:t xml:space="preserve">FRP Registration: FRP-2024-00891</w:t>
      </w:r>
    </w:p>
    <w:bookmarkEnd w:id="20"/>
    <w:bookmarkStart w:id="21" w:name="invoice"/>
    <w:p>
      <w:pPr>
        <w:pStyle w:val="Heading2"/>
      </w:pPr>
      <w:r>
        <w:t xml:space="preserve">INVOICE</w:t>
      </w:r>
    </w:p>
    <w:p>
      <w:pPr>
        <w:pStyle w:val="FirstParagraph"/>
      </w:pPr>
      <w:r>
        <w:t xml:space="preserve">Invoice No: MA-2025-00472</w:t>
      </w:r>
    </w:p>
    <w:p>
      <w:pPr>
        <w:pStyle w:val="BodyText"/>
      </w:pPr>
      <w:r>
        <w:t xml:space="preserve">Date Issued: 15 June 2025</w:t>
      </w:r>
    </w:p>
    <w:p>
      <w:pPr>
        <w:pStyle w:val="BodyText"/>
      </w:pPr>
      <w:r>
        <w:t xml:space="preserve">Due Date: 15 July 2025</w:t>
      </w:r>
    </w:p>
    <w:p>
      <w:pPr>
        <w:pStyle w:val="BodyText"/>
      </w:pPr>
      <w:r>
        <w:t xml:space="preserve">Professional Services</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Nusantara Manufacturing Industries Sdn. Bhd.</w:t>
      </w:r>
    </w:p>
    <w:p>
      <w:pPr>
        <w:pStyle w:val="BodyText"/>
      </w:pPr>
      <w:r>
        <w:rPr>
          <w:bCs/>
          <w:b/>
        </w:rPr>
        <w:t xml:space="preserve">Address:</w:t>
      </w:r>
      <w:r>
        <w:t xml:space="preserve"> </w:t>
      </w:r>
      <w:r>
        <w:t xml:space="preserve">Lot 88, Jalan Industri 3, Taman Perindustrian UEP</w:t>
      </w:r>
    </w:p>
    <w:p>
      <w:pPr>
        <w:pStyle w:val="BodyText"/>
      </w:pPr>
      <w:r>
        <w:rPr>
          <w:bCs/>
          <w:b/>
        </w:rPr>
        <w:t xml:space="preserve">City:</w:t>
      </w:r>
      <w:r>
        <w:t xml:space="preserve"> </w:t>
      </w:r>
      <w:r>
        <w:t xml:space="preserve">47600 Subang Jaya, Selangor, Malaysia</w:t>
      </w:r>
    </w:p>
    <w:p>
      <w:pPr>
        <w:pStyle w:val="BodyText"/>
      </w:pPr>
      <w:r>
        <w:rPr>
          <w:bCs/>
          <w:b/>
        </w:rPr>
        <w:t xml:space="preserve">Company Reg No:</w:t>
      </w:r>
      <w:r>
        <w:t xml:space="preserve"> </w:t>
      </w:r>
      <w:r>
        <w:t xml:space="preserve">199801023456</w:t>
      </w:r>
    </w:p>
    <w:p>
      <w:pPr>
        <w:pStyle w:val="BodyText"/>
      </w:pPr>
      <w:r>
        <w:rPr>
          <w:bCs/>
          <w:b/>
        </w:rPr>
        <w:t xml:space="preserve">Attention:</w:t>
      </w:r>
      <w:r>
        <w:t xml:space="preserve"> </w:t>
      </w:r>
      <w:r>
        <w:t xml:space="preserve">Mr. Tan Wei Keat, Chief Financial Officer</w:t>
      </w:r>
    </w:p>
    <w:bookmarkEnd w:id="22"/>
    <w:bookmarkStart w:id="23" w:name="invoice-details"/>
    <w:p>
      <w:pPr>
        <w:pStyle w:val="Heading3"/>
      </w:pPr>
      <w:r>
        <w:t xml:space="preserve">Invoice Details</w:t>
      </w:r>
    </w:p>
    <w:p>
      <w:pPr>
        <w:pStyle w:val="FirstParagraph"/>
      </w:pPr>
      <w:r>
        <w:rPr>
          <w:bCs/>
          <w:b/>
        </w:rPr>
        <w:t xml:space="preserve">Engagement Reference:</w:t>
      </w:r>
      <w:r>
        <w:t xml:space="preserve"> </w:t>
      </w:r>
      <w:r>
        <w:t xml:space="preserve">AUD-2025-NMI-003</w:t>
      </w:r>
    </w:p>
    <w:p>
      <w:pPr>
        <w:pStyle w:val="BodyText"/>
      </w:pPr>
      <w:r>
        <w:rPr>
          <w:bCs/>
          <w:b/>
        </w:rPr>
        <w:t xml:space="preserve">Auditor in Charge:</w:t>
      </w:r>
      <w:r>
        <w:t xml:space="preserve"> </w:t>
      </w:r>
      <w:r>
        <w:t xml:space="preserve">Ms. Aisyah binti Rahman, CA(MA)</w:t>
      </w:r>
    </w:p>
    <w:p>
      <w:pPr>
        <w:pStyle w:val="BodyText"/>
      </w:pPr>
      <w:r>
        <w:rPr>
          <w:bCs/>
          <w:b/>
        </w:rPr>
        <w:t xml:space="preserve">Service Period:</w:t>
      </w:r>
      <w:r>
        <w:t xml:space="preserve"> </w:t>
      </w:r>
      <w:r>
        <w:t xml:space="preserve">1 January 2025 – 31 May 2025</w:t>
      </w:r>
    </w:p>
    <w:p>
      <w:pPr>
        <w:pStyle w:val="BodyText"/>
      </w:pPr>
      <w:r>
        <w:rPr>
          <w:bCs/>
          <w:b/>
        </w:rPr>
        <w:t xml:space="preserve">Currency:</w:t>
      </w:r>
      <w:r>
        <w:t xml:space="preserve"> </w:t>
      </w:r>
      <w:r>
        <w:t xml:space="preserve">Malaysian Ringgit (MYR / RM)</w:t>
      </w:r>
    </w:p>
    <w:p>
      <w:pPr>
        <w:pStyle w:val="BodyText"/>
      </w:pPr>
      <w:r>
        <w:rPr>
          <w:bCs/>
          <w:b/>
        </w:rPr>
        <w:t xml:space="preserve">Payment Terms:</w:t>
      </w:r>
      <w:r>
        <w:t xml:space="preserve"> </w:t>
      </w:r>
      <w:r>
        <w:t xml:space="preserve">Net 30 Days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Auditor Services</w:t>
            </w:r>
          </w:p>
        </w:tc>
        <w:tc>
          <w:tcPr/>
          <w:p>
            <w:pPr>
              <w:pStyle w:val="Compact"/>
              <w:jc w:val="left"/>
            </w:pPr>
            <w:r>
              <w:t xml:space="preserve">Period / Basis</w:t>
            </w:r>
          </w:p>
        </w:tc>
        <w:tc>
          <w:tcPr/>
          <w:p>
            <w:pPr>
              <w:pStyle w:val="Compact"/>
              <w:jc w:val="left"/>
            </w:pPr>
            <w:r>
              <w:t xml:space="preserve">Rate (RM)</w:t>
            </w:r>
          </w:p>
        </w:tc>
        <w:tc>
          <w:tcPr/>
          <w:p>
            <w:pPr>
              <w:pStyle w:val="Compact"/>
              <w:jc w:val="left"/>
            </w:pPr>
            <w:r>
              <w:t xml:space="preserve">Amount (RM)</w:t>
            </w:r>
          </w:p>
        </w:tc>
      </w:tr>
      <w:tr>
        <w:tc>
          <w:tcPr/>
          <w:p>
            <w:pPr>
              <w:pStyle w:val="Compact"/>
              <w:jc w:val="left"/>
            </w:pPr>
            <w:r>
              <w:t xml:space="preserve">01</w:t>
            </w:r>
          </w:p>
        </w:tc>
        <w:tc>
          <w:tcPr/>
          <w:p>
            <w:pPr>
              <w:pStyle w:val="Compact"/>
              <w:jc w:val="left"/>
            </w:pPr>
            <w:r>
              <w:t xml:space="preserve">Annual Statutory Financial Audit – Preparation and execution of the full audit of financial statements in accordance with Malaysian Financial Reporting Standards (MFRS) and the Companies Act 2016. Includes fieldwork, testing of internal controls, and issuance of the Auditor's Report.</w:t>
            </w:r>
          </w:p>
        </w:tc>
        <w:tc>
          <w:tcPr/>
          <w:p>
            <w:pPr>
              <w:pStyle w:val="Compact"/>
              <w:jc w:val="left"/>
            </w:pPr>
            <w:r>
              <w:t xml:space="preserve">Jan – Mar 2025</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Interim Review of Quarterly Financial Statements (Q1 and Q2 2025) – Performed by the designated Auditor team to ensure compliance with Bursa Malaysia listing requirements and to provide reasonable assurance on interim reporting accuracy.</w:t>
            </w:r>
          </w:p>
        </w:tc>
        <w:tc>
          <w:tcPr/>
          <w:p>
            <w:pPr>
              <w:pStyle w:val="Compact"/>
              <w:jc w:val="left"/>
            </w:pPr>
            <w:r>
              <w:t xml:space="preserve">Apr – May 2025</w:t>
            </w:r>
          </w:p>
        </w:tc>
        <w:tc>
          <w:tcPr/>
          <w:p>
            <w:pPr>
              <w:pStyle w:val="Compact"/>
              <w:jc w:val="left"/>
            </w:pPr>
            <w:r>
              <w:t xml:space="preserve">12,800.00</w:t>
            </w:r>
          </w:p>
        </w:tc>
        <w:tc>
          <w:tcPr/>
          <w:p>
            <w:pPr>
              <w:pStyle w:val="Compact"/>
              <w:jc w:val="left"/>
            </w:pPr>
            <w:r>
              <w:t xml:space="preserve">25,600.00</w:t>
            </w:r>
          </w:p>
        </w:tc>
      </w:tr>
      <w:tr>
        <w:tc>
          <w:tcPr/>
          <w:p>
            <w:pPr>
              <w:pStyle w:val="Compact"/>
              <w:jc w:val="left"/>
            </w:pPr>
            <w:r>
              <w:t xml:space="preserve">03</w:t>
            </w:r>
          </w:p>
        </w:tc>
        <w:tc>
          <w:tcPr/>
          <w:p>
            <w:pPr>
              <w:pStyle w:val="Compact"/>
              <w:jc w:val="left"/>
            </w:pPr>
            <w:r>
              <w:t xml:space="preserve">Internal Audit Consultancy – Comprehensive review of operational processes, risk assessment, and governance frameworks. The Auditor provided written recommendations for process improvement across procurement, inventory management, and revenue cycles.</w:t>
            </w:r>
          </w:p>
        </w:tc>
        <w:tc>
          <w:tcPr/>
          <w:p>
            <w:pPr>
              <w:pStyle w:val="Compact"/>
              <w:jc w:val="left"/>
            </w:pPr>
            <w:r>
              <w:t xml:space="preserve">Feb – Apr 2025</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Tax Compliance Audit &amp; LHDN Filing Support – Verification of corporate tax computations, review of transfer pricing documentation, and preparation of supporting schedules for submission to the Inland Revenue Board of Malaysia (LHDN) in Malaysia Kuala Lumpur.</w:t>
            </w:r>
          </w:p>
        </w:tc>
        <w:tc>
          <w:tcPr/>
          <w:p>
            <w:pPr>
              <w:pStyle w:val="Compact"/>
              <w:jc w:val="left"/>
            </w:pPr>
            <w:r>
              <w:t xml:space="preserve">May 2025</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05</w:t>
            </w:r>
          </w:p>
        </w:tc>
        <w:tc>
          <w:tcPr/>
          <w:p>
            <w:pPr>
              <w:pStyle w:val="Compact"/>
              <w:jc w:val="left"/>
            </w:pPr>
            <w:r>
              <w:t xml:space="preserve">Special Investigation &amp; Forensic Audit – Targeted examination of anomalous transactions identified during the interim review. The Auditor conducted detailed transaction tracing, interviewed relevant personnel, and prepared a confidential findings memorandum for the Board of Directors.</w:t>
            </w:r>
          </w:p>
        </w:tc>
        <w:tc>
          <w:tcPr/>
          <w:p>
            <w:pPr>
              <w:pStyle w:val="Compact"/>
              <w:jc w:val="left"/>
            </w:pPr>
            <w:r>
              <w:t xml:space="preserve">Mar – Apr 2025</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06</w:t>
            </w:r>
          </w:p>
        </w:tc>
        <w:tc>
          <w:tcPr/>
          <w:p>
            <w:pPr>
              <w:pStyle w:val="Compact"/>
              <w:jc w:val="left"/>
            </w:pPr>
            <w:r>
              <w:t xml:space="preserve">Management Training &amp; Advisory Workshop – Two-day on-site workshop in Malaysia Kuala Lumpur covering MFRS updates, audit readiness, and internal control best practices. Delivered by the lead Auditor and two senior associates to a group of 25 finance staff members.</w:t>
            </w:r>
          </w:p>
        </w:tc>
        <w:tc>
          <w:tcPr/>
          <w:p>
            <w:pPr>
              <w:pStyle w:val="Compact"/>
              <w:jc w:val="left"/>
            </w:pPr>
            <w:r>
              <w:t xml:space="preserve">May 2025</w:t>
            </w:r>
          </w:p>
        </w:tc>
        <w:tc>
          <w:tcPr/>
          <w:p>
            <w:pPr>
              <w:pStyle w:val="Compact"/>
              <w:jc w:val="left"/>
            </w:pPr>
            <w:r>
              <w:t xml:space="preserve">6,200.00</w:t>
            </w:r>
          </w:p>
        </w:tc>
        <w:tc>
          <w:tcPr/>
          <w:p>
            <w:pPr>
              <w:pStyle w:val="Compact"/>
              <w:jc w:val="left"/>
            </w:pPr>
            <w:r>
              <w:t xml:space="preserve">6,200.00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130,550.00</w:t>
            </w:r>
          </w:p>
        </w:tc>
      </w:tr>
      <w:tr>
        <w:tc>
          <w:tcPr/>
          <w:p>
            <w:pPr>
              <w:pStyle w:val="Compact"/>
              <w:jc w:val="left"/>
            </w:pPr>
            <w:r>
              <w:t xml:space="preserve">SST @ 6% (Service Tax)</w:t>
            </w:r>
          </w:p>
        </w:tc>
        <w:tc>
          <w:tcPr/>
          <w:p>
            <w:pPr>
              <w:pStyle w:val="Compact"/>
              <w:jc w:val="left"/>
            </w:pPr>
            <w:r>
              <w:t xml:space="preserve">RM 7,833.00</w:t>
            </w:r>
          </w:p>
        </w:tc>
      </w:tr>
      <w:tr>
        <w:tc>
          <w:tcPr/>
          <w:p>
            <w:pPr>
              <w:pStyle w:val="Compact"/>
              <w:jc w:val="left"/>
            </w:pPr>
            <w:r>
              <w:t xml:space="preserve">Travel &amp; Accommodation (Malaysia Kuala Lumpur area)</w:t>
            </w:r>
          </w:p>
        </w:tc>
        <w:tc>
          <w:tcPr/>
          <w:p>
            <w:pPr>
              <w:pStyle w:val="Compact"/>
              <w:jc w:val="left"/>
            </w:pPr>
            <w:r>
              <w:t xml:space="preserve">RM 1,240.00</w:t>
            </w:r>
          </w:p>
        </w:tc>
      </w:tr>
      <w:tr>
        <w:tc>
          <w:tcPr/>
          <w:p>
            <w:pPr>
              <w:pStyle w:val="Compact"/>
              <w:jc w:val="left"/>
            </w:pPr>
            <w:r>
              <w:t xml:space="preserve">Reimbursable Expenses (printing, courier, site visits)</w:t>
            </w:r>
          </w:p>
        </w:tc>
        <w:tc>
          <w:tcPr/>
          <w:p>
            <w:pPr>
              <w:pStyle w:val="Compact"/>
              <w:jc w:val="left"/>
            </w:pPr>
            <w:r>
              <w:t xml:space="preserve">RM 485.00</w:t>
            </w:r>
          </w:p>
        </w:tc>
      </w:tr>
      <w:tr>
        <w:tc>
          <w:tcPr/>
          <w:p>
            <w:pPr>
              <w:pStyle w:val="Compact"/>
              <w:jc w:val="left"/>
            </w:pPr>
            <w:r>
              <w:t xml:space="preserve">Grand Total Due</w:t>
            </w:r>
          </w:p>
        </w:tc>
        <w:tc>
          <w:tcPr/>
          <w:p>
            <w:pPr>
              <w:pStyle w:val="Compact"/>
              <w:jc w:val="left"/>
            </w:pPr>
            <w:r>
              <w:t xml:space="preserve">RM 140,108.00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Maybank Berhad</w:t>
      </w:r>
    </w:p>
    <w:p>
      <w:pPr>
        <w:pStyle w:val="BodyText"/>
      </w:pPr>
      <w:r>
        <w:rPr>
          <w:bCs/>
          <w:b/>
        </w:rPr>
        <w:t xml:space="preserve">Account Name:</w:t>
      </w:r>
      <w:r>
        <w:t xml:space="preserve"> </w:t>
      </w:r>
      <w:r>
        <w:t xml:space="preserve">Meridian Audit &amp; Advisory Sdn. Bhd.</w:t>
      </w:r>
    </w:p>
    <w:p>
      <w:pPr>
        <w:pStyle w:val="BodyText"/>
      </w:pPr>
      <w:r>
        <w:rPr>
          <w:bCs/>
          <w:b/>
        </w:rPr>
        <w:t xml:space="preserve">Account No:</w:t>
      </w:r>
      <w:r>
        <w:t xml:space="preserve"> </w:t>
      </w:r>
      <w:r>
        <w:t xml:space="preserve">5123-4567-8901</w:t>
      </w:r>
    </w:p>
    <w:p>
      <w:pPr>
        <w:pStyle w:val="BodyText"/>
      </w:pPr>
      <w:r>
        <w:rPr>
          <w:bCs/>
          <w:b/>
        </w:rPr>
        <w:t xml:space="preserve">SWIFT Code:</w:t>
      </w:r>
      <w:r>
        <w:t xml:space="preserve"> </w:t>
      </w:r>
      <w:r>
        <w:t xml:space="preserve">MAYBMYKL</w:t>
      </w:r>
    </w:p>
    <w:p>
      <w:pPr>
        <w:pStyle w:val="BodyText"/>
      </w:pPr>
      <w:r>
        <w:rPr>
          <w:bCs/>
          <w:b/>
        </w:rPr>
        <w:t xml:space="preserve">Reference:</w:t>
      </w:r>
      <w:r>
        <w:t xml:space="preserve"> </w:t>
      </w:r>
      <w:r>
        <w:t xml:space="preserve">Please quote Invoice No. MA-2025-00472 in all remittances.</w:t>
      </w:r>
    </w:p>
    <w:p>
      <w:pPr>
        <w:pStyle w:val="BodyText"/>
      </w:pPr>
      <w:r>
        <w:rPr>
          <w:bCs/>
          <w:b/>
        </w:rPr>
        <w:t xml:space="preserve">Payment Method:</w:t>
      </w:r>
      <w:r>
        <w:t xml:space="preserve"> </w:t>
      </w:r>
      <w:r>
        <w:t xml:space="preserve">Bank Transfer (TT) only. Cheques are no longer accepted for this Invoice.</w:t>
      </w:r>
    </w:p>
    <w:bookmarkEnd w:id="24"/>
    <w:bookmarkStart w:id="25" w:name="important-notes-terms"/>
    <w:p>
      <w:pPr>
        <w:pStyle w:val="Heading3"/>
      </w:pPr>
      <w:r>
        <w:t xml:space="preserve">Important Notes &amp; Terms</w:t>
      </w:r>
    </w:p>
    <w:p>
      <w:pPr>
        <w:numPr>
          <w:ilvl w:val="0"/>
          <w:numId w:val="1001"/>
        </w:numPr>
        <w:pStyle w:val="Compact"/>
      </w:pPr>
      <w:r>
        <w:t xml:space="preserve">This Invoice is issued in accordance with the engagement letter dated 10 December 2024 between Meridian Audit &amp; Advisory Sdn. Bhd. (the Auditor) and Nusantara Manufacturing Industries Sdn. Bhd. (the Client).</w:t>
      </w:r>
    </w:p>
    <w:p>
      <w:pPr>
        <w:numPr>
          <w:ilvl w:val="0"/>
          <w:numId w:val="1001"/>
        </w:numPr>
        <w:pStyle w:val="Compact"/>
      </w:pPr>
      <w:r>
        <w:t xml:space="preserve">The Auditor's professional fees are subject to the Malaysian Financial Reporting Standards and the ethical requirements of the Malaysian Institute of Accountants (MIA). All services rendered comply with the independence and objectivity standards mandated for statutory auditors in Malaysia.</w:t>
      </w:r>
    </w:p>
    <w:p>
      <w:pPr>
        <w:numPr>
          <w:ilvl w:val="0"/>
          <w:numId w:val="1001"/>
        </w:numPr>
        <w:pStyle w:val="Compact"/>
      </w:pPr>
      <w:r>
        <w:t xml:space="preserve">Payment is due within thirty (30) calendar days from the date of this Invoice. Late payments shall attract a penalty interest of 1.5% per month or the maximum rate permitted under Malaysian law, whichever is lower.</w:t>
      </w:r>
    </w:p>
    <w:p>
      <w:pPr>
        <w:numPr>
          <w:ilvl w:val="0"/>
          <w:numId w:val="1001"/>
        </w:numPr>
        <w:pStyle w:val="Compact"/>
      </w:pPr>
      <w:r>
        <w:t xml:space="preserve">All work performed by the Auditor in Malaysia Kuala Lumpur and surrounding areas is subject to the Service Tax (SST) at the prevailing rate of 6% as administered by the Royal Malaysian Customs Department.</w:t>
      </w:r>
    </w:p>
    <w:p>
      <w:pPr>
        <w:numPr>
          <w:ilvl w:val="0"/>
          <w:numId w:val="1001"/>
        </w:numPr>
        <w:pStyle w:val="Compact"/>
      </w:pPr>
      <w:r>
        <w:t xml:space="preserve">The Auditor reserves the right to withhold the final audit opinion and Auditor's Report until full settlement of this Invoice and all outstanding professional fees.</w:t>
      </w:r>
    </w:p>
    <w:p>
      <w:pPr>
        <w:numPr>
          <w:ilvl w:val="0"/>
          <w:numId w:val="1001"/>
        </w:numPr>
        <w:pStyle w:val="Compact"/>
      </w:pPr>
      <w:r>
        <w:t xml:space="preserve">Confidentiality: All financial data, working papers, and findings shared during the audit engagement are strictly confidential and shall not be disclosed to any third party without written consent from the Client, in compliance with Section 17 of the Companies Act 2016.</w:t>
      </w:r>
    </w:p>
    <w:p>
      <w:pPr>
        <w:numPr>
          <w:ilvl w:val="0"/>
          <w:numId w:val="1001"/>
        </w:numPr>
        <w:pStyle w:val="Compact"/>
      </w:pPr>
      <w:r>
        <w:t xml:space="preserve">This Invoice is valid for 90 days from the date of issue. After this period, the Auditor reserves the right to reissue with updated rates if applicable.</w:t>
      </w:r>
    </w:p>
    <w:bookmarkEnd w:id="25"/>
    <w:p>
      <w:pPr>
        <w:pStyle w:val="FirstParagraph"/>
      </w:pPr>
      <w:r>
        <w:rPr>
          <w:bCs/>
          <w:b/>
        </w:rPr>
        <w:t xml:space="preserve">Meridian Audit &amp; Advisory Sdn. Bhd.</w:t>
      </w:r>
      <w:r>
        <w:t xml:space="preserve"> </w:t>
      </w:r>
      <w:r>
        <w:t xml:space="preserve">– A licensed Auditor firm registered with the Companies Commission of Malaysia (SSM) and the Malaysian Institute of Accountants (MIA).</w:t>
      </w:r>
    </w:p>
    <w:p>
      <w:pPr>
        <w:pStyle w:val="BodyText"/>
      </w:pPr>
      <w:r>
        <w:t xml:space="preserve">Office: Level 24, Menara KL, No. 12, Jalan Ampang, 50450 Malaysia Kuala Lumpur, Wilayah Persekutuan.</w:t>
      </w:r>
    </w:p>
    <w:p>
      <w:pPr>
        <w:pStyle w:val="BodyText"/>
      </w:pPr>
      <w:r>
        <w:t xml:space="preserve">This Invoice was generated electronically and is valid without a physical signature. For queries regarding this Invoice, please contact our billing department at billing@meridianaudit.my or +603-2180-4567.</w:t>
      </w:r>
    </w:p>
    <w:p>
      <w:pPr>
        <w:pStyle w:val="BodyText"/>
      </w:pPr>
      <w:r>
        <w:t xml:space="preserve">© 2025 Meridian Audit &amp; Advisory Sdn. Bhd. All rights reserved. | FRP: FRP-2024-00891 | SSM: 201901045678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Malaysia Kuala Lumpur</dc:title>
  <dc:creator/>
  <dc:language>en</dc:language>
  <cp:keywords/>
  <dcterms:created xsi:type="dcterms:W3CDTF">2026-10-10T03:39:46Z</dcterms:created>
  <dcterms:modified xsi:type="dcterms:W3CDTF">2026-10-10T03:39:46Z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