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grupo-auditorial-del-centro-s.a.-de-c.v."/>
    <w:p>
      <w:pPr>
        <w:pStyle w:val="Heading1"/>
      </w:pPr>
      <w:r>
        <w:t xml:space="preserve">Grupo Auditorial del Centro, S.A. de C.V.</w:t>
      </w:r>
    </w:p>
    <w:p>
      <w:pPr>
        <w:pStyle w:val="FirstParagraph"/>
      </w:pPr>
      <w:r>
        <w:t xml:space="preserve">RFC: GAC150320AB7</w:t>
      </w:r>
    </w:p>
    <w:p>
      <w:pPr>
        <w:pStyle w:val="BodyText"/>
      </w:pPr>
      <w:r>
        <w:t xml:space="preserve">Av. Paseo de la Reforma 250, Piso 14, Col. Cuauhtémoc</w:t>
      </w:r>
    </w:p>
    <w:p>
      <w:pPr>
        <w:pStyle w:val="BodyText"/>
      </w:pPr>
      <w:r>
        <w:t xml:space="preserve">Mexico Mexico City, C.P. 06500, México</w:t>
      </w:r>
    </w:p>
    <w:p>
      <w:pPr>
        <w:pStyle w:val="BodyText"/>
      </w:pPr>
      <w:r>
        <w:t xml:space="preserve">Tel: +52 (55) 5263-8841 | Email: facturacion@grupoauditorialcentro.mx</w:t>
      </w:r>
    </w:p>
    <w:bookmarkEnd w:id="20"/>
    <w:bookmarkStart w:id="21" w:name="invoice"/>
    <w:p>
      <w:pPr>
        <w:pStyle w:val="Heading2"/>
      </w:pPr>
      <w:r>
        <w:t xml:space="preserve">INVOICE</w:t>
      </w:r>
    </w:p>
    <w:p>
      <w:pPr>
        <w:pStyle w:val="FirstParagraph"/>
      </w:pPr>
      <w:r>
        <w:t xml:space="preserve">Factura Electrónica (CFDI 4.0)</w:t>
      </w:r>
    </w:p>
    <w:p>
      <w:pPr>
        <w:pStyle w:val="BodyText"/>
      </w:pPr>
      <w:r>
        <w:t xml:space="preserve">Invoice No.: INV-2025-04872</w:t>
      </w:r>
    </w:p>
    <w:p>
      <w:pPr>
        <w:pStyle w:val="BodyText"/>
      </w:pPr>
      <w:r>
        <w:t xml:space="preserve">Date of Issue: June 15, 2025</w:t>
      </w:r>
    </w:p>
    <w:p>
      <w:pPr>
        <w:pStyle w:val="BodyText"/>
      </w:pPr>
      <w:r>
        <w:t xml:space="preserve">Due Date: July 15, 2025</w:t>
      </w:r>
    </w:p>
    <w:p>
      <w:pPr>
        <w:pStyle w:val="BodyText"/>
      </w:pPr>
      <w:r>
        <w:t xml:space="preserve">PENDING PAYMENT</w:t>
      </w:r>
    </w:p>
    <w:bookmarkEnd w:id="21"/>
    <w:bookmarkStart w:id="22" w:name="billed-to-cliente"/>
    <w:p>
      <w:pPr>
        <w:pStyle w:val="Heading3"/>
      </w:pPr>
      <w:r>
        <w:t xml:space="preserve">Billed To (Cliente)</w:t>
      </w:r>
    </w:p>
    <w:p>
      <w:pPr>
        <w:pStyle w:val="FirstParagraph"/>
      </w:pPr>
      <w:r>
        <w:rPr>
          <w:bCs/>
          <w:b/>
        </w:rPr>
        <w:t xml:space="preserve">Comercializadora del Valle, S.A. de C.V.</w:t>
      </w:r>
    </w:p>
    <w:p>
      <w:pPr>
        <w:pStyle w:val="BodyText"/>
      </w:pPr>
      <w:r>
        <w:t xml:space="preserve">RFC: CDV090815KL2</w:t>
      </w:r>
    </w:p>
    <w:p>
      <w:pPr>
        <w:pStyle w:val="BodyText"/>
      </w:pPr>
      <w:r>
        <w:t xml:space="preserve">Blvd. Manuel Ávila Camacho 1200, Piso 8</w:t>
      </w:r>
    </w:p>
    <w:p>
      <w:pPr>
        <w:pStyle w:val="BodyText"/>
      </w:pPr>
      <w:r>
        <w:t xml:space="preserve">Col. Lomas Altas, C.P. 11950</w:t>
      </w:r>
    </w:p>
    <w:p>
      <w:pPr>
        <w:pStyle w:val="BodyText"/>
      </w:pPr>
      <w:r>
        <w:t xml:space="preserve">Mexico Mexico City, México</w:t>
      </w:r>
    </w:p>
    <w:p>
      <w:pPr>
        <w:pStyle w:val="BodyText"/>
      </w:pPr>
      <w:r>
        <w:t xml:space="preserve">Contact: Lic. María Fernanda Gutiérrez</w:t>
      </w:r>
    </w:p>
    <w:p>
      <w:pPr>
        <w:pStyle w:val="BodyText"/>
      </w:pPr>
      <w:r>
        <w:t xml:space="preserve">Email: mfgutierrez@comercializadora-valle.mx</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April 1 – May 31, 2025</w:t>
      </w:r>
    </w:p>
    <w:p>
      <w:pPr>
        <w:pStyle w:val="BodyText"/>
      </w:pPr>
      <w:r>
        <w:rPr>
          <w:bCs/>
          <w:b/>
        </w:rPr>
        <w:t xml:space="preserve">Project Code:</w:t>
      </w:r>
      <w:r>
        <w:t xml:space="preserve"> </w:t>
      </w:r>
      <w:r>
        <w:t xml:space="preserve">AUD-MX-2025-Q2</w:t>
      </w:r>
    </w:p>
    <w:p>
      <w:pPr>
        <w:pStyle w:val="BodyText"/>
      </w:pPr>
      <w:r>
        <w:rPr>
          <w:bCs/>
          <w:b/>
        </w:rPr>
        <w:t xml:space="preserve">Regime:</w:t>
      </w:r>
      <w:r>
        <w:t xml:space="preserve"> </w:t>
      </w:r>
      <w:r>
        <w:t xml:space="preserve">General de Ley</w:t>
      </w:r>
    </w:p>
    <w:p>
      <w:pPr>
        <w:pStyle w:val="BodyText"/>
      </w:pPr>
      <w:r>
        <w:rPr>
          <w:bCs/>
          <w:b/>
        </w:rPr>
        <w:t xml:space="preserve">Payment Method:</w:t>
      </w:r>
      <w:r>
        <w:t xml:space="preserve"> </w:t>
      </w:r>
      <w:r>
        <w:t xml:space="preserve">Transferencia Bancaria</w:t>
      </w:r>
    </w:p>
    <w:p>
      <w:pPr>
        <w:pStyle w:val="BodyText"/>
      </w:pPr>
      <w:r>
        <w:rPr>
          <w:bCs/>
          <w:b/>
        </w:rPr>
        <w:t xml:space="preserve">Bank:</w:t>
      </w:r>
      <w:r>
        <w:t xml:space="preserve"> </w:t>
      </w:r>
      <w:r>
        <w:t xml:space="preserve">BBVA México</w:t>
      </w:r>
    </w:p>
    <w:p>
      <w:pPr>
        <w:pStyle w:val="BodyText"/>
      </w:pPr>
      <w:r>
        <w:rPr>
          <w:bCs/>
          <w:b/>
        </w:rPr>
        <w:t xml:space="preserve">CLABE:</w:t>
      </w:r>
      <w:r>
        <w:t xml:space="preserve"> </w:t>
      </w:r>
      <w:r>
        <w:t xml:space="preserve">012180004567890123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UoM</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Financial Audit – Annual Review of General Ledger, Balance Sheet, and Income Statement for fiscal year 2024. Performed by a certified Auditor in compliance with NIF (Normas de Información Financiera) and Mexican regulatory standards.</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Internal Control Assessment – Comprehensive evaluation of internal control frameworks, risk management protocols, and compliance procedures across all operational departments located in Mexico Mexico City headquarters.</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92,500.00</w:t>
            </w:r>
          </w:p>
        </w:tc>
        <w:tc>
          <w:tcPr/>
          <w:p>
            <w:pPr>
              <w:pStyle w:val="Compact"/>
              <w:jc w:val="left"/>
            </w:pPr>
            <w:r>
              <w:t xml:space="preserve">92,500.00</w:t>
            </w:r>
          </w:p>
        </w:tc>
      </w:tr>
      <w:tr>
        <w:tc>
          <w:tcPr/>
          <w:p>
            <w:pPr>
              <w:pStyle w:val="Compact"/>
              <w:jc w:val="left"/>
            </w:pPr>
            <w:r>
              <w:t xml:space="preserve">3</w:t>
            </w:r>
          </w:p>
        </w:tc>
        <w:tc>
          <w:tcPr/>
          <w:p>
            <w:pPr>
              <w:pStyle w:val="Compact"/>
              <w:jc w:val="left"/>
            </w:pPr>
            <w:r>
              <w:t xml:space="preserve">Tax Compliance Audit – Verification of ISR (Impuesto Sobre la Renta) and IVA (Impuesto al Valor Agregado) filings, transfer pricing documentation, and SAT (Servicio de Administración Tributaria) reconciliation for the first two quarters of 2025.</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4</w:t>
            </w:r>
          </w:p>
        </w:tc>
        <w:tc>
          <w:tcPr/>
          <w:p>
            <w:pPr>
              <w:pStyle w:val="Compact"/>
              <w:jc w:val="left"/>
            </w:pPr>
            <w:r>
              <w:t xml:space="preserve">IT General Controls Audit – Review of information systems security, access controls, data integrity, and disaster recovery plans. Includes penetration testing and vulnerability assessment of corporate infrastructure.</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54,000.00</w:t>
            </w:r>
          </w:p>
        </w:tc>
        <w:tc>
          <w:tcPr/>
          <w:p>
            <w:pPr>
              <w:pStyle w:val="Compact"/>
              <w:jc w:val="left"/>
            </w:pPr>
            <w:r>
              <w:t xml:space="preserve">54,000.00</w:t>
            </w:r>
          </w:p>
        </w:tc>
      </w:tr>
      <w:tr>
        <w:tc>
          <w:tcPr/>
          <w:p>
            <w:pPr>
              <w:pStyle w:val="Compact"/>
              <w:jc w:val="left"/>
            </w:pPr>
            <w:r>
              <w:t xml:space="preserve">5</w:t>
            </w:r>
          </w:p>
        </w:tc>
        <w:tc>
          <w:tcPr/>
          <w:p>
            <w:pPr>
              <w:pStyle w:val="Compact"/>
              <w:jc w:val="left"/>
            </w:pPr>
            <w:r>
              <w:t xml:space="preserve">Management Letter &amp; Auditor's Report – Preparation and delivery of the formal Auditor's opinion letter, management recommendations, and corrective action plan. Includes executive presentation to the Board of Directors in Mexico Mexico City.</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6</w:t>
            </w:r>
          </w:p>
        </w:tc>
        <w:tc>
          <w:tcPr/>
          <w:p>
            <w:pPr>
              <w:pStyle w:val="Compact"/>
              <w:jc w:val="left"/>
            </w:pPr>
            <w:r>
              <w:t xml:space="preserve">On-site Fieldwork &amp; Travel – Travel expenses, accommodation, and per diem for the Auditor team (4 professionals) conducting on-site procedures at the client's facilities in Mexico Mexico City over 12 business days.</w:t>
            </w:r>
          </w:p>
        </w:tc>
        <w:tc>
          <w:tcPr/>
          <w:p>
            <w:pPr>
              <w:pStyle w:val="Compact"/>
              <w:jc w:val="left"/>
            </w:pPr>
            <w:r>
              <w:t xml:space="preserve">Days</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(MXN)</w:t>
            </w:r>
          </w:p>
        </w:tc>
        <w:tc>
          <w:tcPr/>
          <w:p>
            <w:pPr>
              <w:pStyle w:val="Compact"/>
              <w:jc w:val="left"/>
            </w:pPr>
            <w:r>
              <w:t xml:space="preserve">476,400.00</w:t>
            </w:r>
          </w:p>
        </w:tc>
      </w:tr>
      <w:tr>
        <w:tc>
          <w:tcPr/>
          <w:p>
            <w:pPr>
              <w:pStyle w:val="Compact"/>
              <w:jc w:val="left"/>
            </w:pPr>
            <w:r>
              <w:t xml:space="preserve">Discount (5%)</w:t>
            </w:r>
          </w:p>
        </w:tc>
        <w:tc>
          <w:tcPr/>
          <w:p>
            <w:pPr>
              <w:pStyle w:val="Compact"/>
              <w:jc w:val="left"/>
            </w:pPr>
            <w:r>
              <w:t xml:space="preserve">(23,820.00)</w:t>
            </w:r>
          </w:p>
        </w:tc>
      </w:tr>
      <w:tr>
        <w:tc>
          <w:tcPr/>
          <w:p>
            <w:pPr>
              <w:pStyle w:val="Compact"/>
              <w:jc w:val="left"/>
            </w:pPr>
            <w:r>
              <w:t xml:space="preserve">Net Subtotal (MXN)</w:t>
            </w:r>
          </w:p>
        </w:tc>
        <w:tc>
          <w:tcPr/>
          <w:p>
            <w:pPr>
              <w:pStyle w:val="Compact"/>
              <w:jc w:val="left"/>
            </w:pPr>
            <w:r>
              <w:t xml:space="preserve">452,580.00</w:t>
            </w:r>
          </w:p>
        </w:tc>
      </w:tr>
      <w:tr>
        <w:tc>
          <w:tcPr/>
          <w:p>
            <w:pPr>
              <w:pStyle w:val="Compact"/>
              <w:jc w:val="left"/>
            </w:pPr>
            <w:r>
              <w:t xml:space="preserve">IVA 16% (MXN)</w:t>
            </w:r>
          </w:p>
        </w:tc>
        <w:tc>
          <w:tcPr/>
          <w:p>
            <w:pPr>
              <w:pStyle w:val="Compact"/>
              <w:jc w:val="left"/>
            </w:pPr>
            <w:r>
              <w:t xml:space="preserve">72,412.80</w:t>
            </w:r>
          </w:p>
        </w:tc>
      </w:tr>
      <w:tr>
        <w:tc>
          <w:tcPr/>
          <w:p>
            <w:pPr>
              <w:pStyle w:val="Compact"/>
              <w:jc w:val="left"/>
            </w:pPr>
            <w:r>
              <w:t xml:space="preserve">TOTAL INVOICE (MXN)</w:t>
            </w:r>
          </w:p>
        </w:tc>
        <w:tc>
          <w:tcPr/>
          <w:p>
            <w:pPr>
              <w:pStyle w:val="Compact"/>
              <w:jc w:val="left"/>
            </w:pPr>
            <w:r>
              <w:t xml:space="preserve">524,992.80</w:t>
            </w:r>
          </w:p>
        </w:tc>
      </w:tr>
    </w:tbl>
    <w:bookmarkStart w:id="24" w:name="payment-terms-conditions"/>
    <w:p>
      <w:pPr>
        <w:pStyle w:val="Heading3"/>
      </w:pPr>
      <w:r>
        <w:t xml:space="preserve">Payment Terms &amp; Conditions</w:t>
      </w:r>
    </w:p>
    <w:p>
      <w:pPr>
        <w:pStyle w:val="FirstParagraph"/>
      </w:pPr>
      <w:r>
        <w:t xml:space="preserve">This Invoice must be settled in full within thirty (30) calendar days from the date of issue, no later than July 15, 2025. Payment shall be made via bank transfer to the CLABE account specified above. All amounts are denominated in Mexican Pesos (MXN) and are subject to the 16% IVA tax rate as established by the Mexican Federal Tax Code (Código Fiscal de la Federación).</w:t>
      </w:r>
    </w:p>
    <w:p>
      <w:pPr>
        <w:pStyle w:val="BodyText"/>
      </w:pPr>
      <w:r>
        <w:t xml:space="preserve">In the event of late payment, a monthly interest rate of 1.25% will be applied in accordance with Article 24 of the Ley del Impuesto Sobre la Renta. The Auditor firm reserves the right to suspend ongoing services and withhold the final Auditor's Report until full settlement of this Invoice is confirmed.</w:t>
      </w:r>
    </w:p>
    <w:p>
      <w:pPr>
        <w:pStyle w:val="BodyText"/>
      </w:pPr>
      <w:r>
        <w:t xml:space="preserve">This Invoice has been generated in compliance with the CFDI 4.0 electronic invoicing standard mandated by the SAT for all commercial transactions conducted in Mexico Mexico City and throughout the Republic of Mexico. The corresponding XML file and digital stamp (sello digital) are available upon request.</w:t>
      </w:r>
    </w:p>
    <w:bookmarkEnd w:id="24"/>
    <w:bookmarkStart w:id="25" w:name="important-notes-regarding-this-invoice"/>
    <w:p>
      <w:pPr>
        <w:pStyle w:val="Heading3"/>
      </w:pPr>
      <w:r>
        <w:t xml:space="preserve">Important Notes Regarding This Invoice</w:t>
      </w:r>
    </w:p>
    <w:p>
      <w:pPr>
        <w:pStyle w:val="FirstParagraph"/>
      </w:pPr>
      <w:r>
        <w:t xml:space="preserve">1. The Auditor services described in this Invoice were performed in strict adherence to the International Standards on Auditing (ISA) adapted to Mexican practice, as well as the Normas de Información Financiera (NIF) issued by the Consejo Mexicano de Normas de Información Financiera (CINIF).</w:t>
      </w:r>
    </w:p>
    <w:p>
      <w:pPr>
        <w:pStyle w:val="BodyText"/>
      </w:pPr>
      <w:r>
        <w:t xml:space="preserve">2. All fieldwork and on-site procedures were conducted at the client's premises in Mexico Mexico City. The Auditor team consisted of four (4) certified public accountants (Contadores Públicos Autorizados) registered with the SAT and the Colegio de Contadores Públicos de México.</w:t>
      </w:r>
    </w:p>
    <w:p>
      <w:pPr>
        <w:pStyle w:val="BodyText"/>
      </w:pPr>
      <w:r>
        <w:t xml:space="preserve">3. This Invoice constitutes a valid fiscal document for tax deduction purposes under the Mexican tax regime. The client is advised to retain this Invoice and the associated CFDI XML for a minimum period of ten (10) years as required by the Código Fiscal de la Federación.</w:t>
      </w:r>
    </w:p>
    <w:p>
      <w:pPr>
        <w:pStyle w:val="BodyText"/>
      </w:pPr>
      <w:r>
        <w:t xml:space="preserve">4. Any disputes arising from this Invoice or the Auditor services rendered shall be subject to the jurisdiction of the commercial courts of Mexico Mexico City, in accordance with the applicable provisions of the Código de Comercio.</w:t>
      </w:r>
    </w:p>
    <w:p>
      <w:pPr>
        <w:pStyle w:val="BodyText"/>
      </w:pPr>
      <w:r>
        <w:t xml:space="preserve">5. The Auditor's independence and objectivity were maintained throughout the engagement. No non-audit services that could impair independence were provided during the period covered by this Invoice.</w:t>
      </w:r>
    </w:p>
    <w:bookmarkEnd w:id="25"/>
    <w:p>
      <w:pPr>
        <w:pStyle w:val="BodyText"/>
      </w:pPr>
      <w:r>
        <w:rPr>
          <w:bCs/>
          <w:b/>
        </w:rPr>
        <w:t xml:space="preserve">Grupo Auditorial del Centro, S.A. de C.V.</w:t>
      </w:r>
      <w:r>
        <w:t xml:space="preserve"> </w:t>
      </w:r>
      <w:r>
        <w:t xml:space="preserve">| RFC: GAC150320AB7 | Mexico Mexico City, México</w:t>
      </w:r>
    </w:p>
    <w:p>
      <w:pPr>
        <w:pStyle w:val="BodyText"/>
      </w:pPr>
      <w:r>
        <w:t xml:space="preserve">This Invoice was electronically generated and is valid without a physical signature. CFDI Folio: 4A7B2C9D-1E3F-4A5B-8C6D-9E0F1A2B3C4D</w:t>
      </w:r>
    </w:p>
    <w:p>
      <w:pPr>
        <w:pStyle w:val="BodyText"/>
      </w:pPr>
      <w:r>
        <w:t xml:space="preserve">Authorized by: C.P.C. Ricardo Alejandro Mendoza Torres | RPA: 0847291 | Registro SAT: 150320AB7</w:t>
      </w:r>
    </w:p>
    <w:p>
      <w:pPr>
        <w:pStyle w:val="BodyText"/>
      </w:pPr>
      <w:r>
        <w:t xml:space="preserve">Thank you for your business. We appreciate the opportunity to serve as your Auditor in Mexico Mexico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Mexico Mexico City</dc:title>
  <dc:creator/>
  <dc:language>en</dc:language>
  <cp:keywords/>
  <dcterms:created xsi:type="dcterms:W3CDTF">2026-10-10T07:24:34Z</dcterms:created>
  <dcterms:modified xsi:type="dcterms:W3CDTF">2026-10-10T07:24:34Z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