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audit-advisory-b.v."/>
    <w:p>
      <w:pPr>
        <w:pStyle w:val="Heading1"/>
      </w:pPr>
      <w:r>
        <w:t xml:space="preserve">Amsterdam Audit &amp; Advisory B.V.</w:t>
      </w:r>
    </w:p>
    <w:p>
      <w:pPr>
        <w:pStyle w:val="FirstParagraph"/>
      </w:pPr>
      <w:r>
        <w:t xml:space="preserve">Keizersgracht 420, 1016 GC Amsterdam</w:t>
      </w:r>
    </w:p>
    <w:p>
      <w:pPr>
        <w:pStyle w:val="BodyText"/>
      </w:pPr>
      <w:r>
        <w:t xml:space="preserve">Netherlands Amsterdam, The Netherlands</w:t>
      </w:r>
    </w:p>
    <w:p>
      <w:pPr>
        <w:pStyle w:val="BodyText"/>
      </w:pPr>
      <w:r>
        <w:t xml:space="preserve">KvK: 87654321 | BTW: NL861234567B01</w:t>
      </w:r>
    </w:p>
    <w:p>
      <w:pPr>
        <w:pStyle w:val="BodyText"/>
      </w:pPr>
      <w:r>
        <w:t xml:space="preserve">info@amsterdamaudit.nl | +31 (0)20 555 0142</w:t>
      </w:r>
    </w:p>
    <w:bookmarkEnd w:id="20"/>
    <w:bookmarkStart w:id="21" w:name="invoice"/>
    <w:p>
      <w:pPr>
        <w:pStyle w:val="Heading2"/>
      </w:pPr>
      <w:r>
        <w:t xml:space="preserve">INVOICE</w:t>
      </w:r>
    </w:p>
    <w:p>
      <w:pPr>
        <w:pStyle w:val="FirstParagraph"/>
      </w:pPr>
      <w:r>
        <w:t xml:space="preserve">Invoice No: INV-2025-00847</w:t>
      </w:r>
    </w:p>
    <w:p>
      <w:pPr>
        <w:pStyle w:val="BodyText"/>
      </w:pPr>
      <w:r>
        <w:t xml:space="preserve">Status:</w:t>
      </w:r>
      <w:r>
        <w:t xml:space="preserve"> </w:t>
      </w:r>
      <w:r>
        <w:t xml:space="preserve">PENDING</w:t>
      </w:r>
    </w:p>
    <w:bookmarkEnd w:id="21"/>
    <w:bookmarkStart w:id="22" w:name="billed-to"/>
    <w:p>
      <w:pPr>
        <w:pStyle w:val="Heading3"/>
      </w:pPr>
      <w:r>
        <w:t xml:space="preserve">Billed To</w:t>
      </w:r>
    </w:p>
    <w:p>
      <w:pPr>
        <w:pStyle w:val="FirstParagraph"/>
      </w:pPr>
      <w:r>
        <w:t xml:space="preserve">Client:</w:t>
      </w:r>
      <w:r>
        <w:t xml:space="preserve"> </w:t>
      </w:r>
      <w:r>
        <w:t xml:space="preserve">Van der Berg Logistics N.V.</w:t>
      </w:r>
    </w:p>
    <w:p>
      <w:pPr>
        <w:pStyle w:val="BodyText"/>
      </w:pPr>
      <w:r>
        <w:t xml:space="preserve">Address:</w:t>
      </w:r>
      <w:r>
        <w:t xml:space="preserve"> </w:t>
      </w:r>
      <w:r>
        <w:t xml:space="preserve">Herengracht 188, 1015 BS Amsterdam</w:t>
      </w:r>
    </w:p>
    <w:p>
      <w:pPr>
        <w:pStyle w:val="BodyText"/>
      </w:pPr>
      <w:r>
        <w:t xml:space="preserve">City:</w:t>
      </w:r>
      <w:r>
        <w:t xml:space="preserve"> </w:t>
      </w:r>
      <w:r>
        <w:t xml:space="preserve">Netherlands Amsterdam</w:t>
      </w:r>
    </w:p>
    <w:p>
      <w:pPr>
        <w:pStyle w:val="BodyText"/>
      </w:pPr>
      <w:r>
        <w:t xml:space="preserve">Country:</w:t>
      </w:r>
      <w:r>
        <w:t xml:space="preserve"> </w:t>
      </w:r>
      <w:r>
        <w:t xml:space="preserve">The Netherlands</w:t>
      </w:r>
    </w:p>
    <w:p>
      <w:pPr>
        <w:pStyle w:val="BodyText"/>
      </w:pPr>
      <w:r>
        <w:t xml:space="preserve">BTW No:</w:t>
      </w:r>
      <w:r>
        <w:t xml:space="preserve"> </w:t>
      </w:r>
      <w:r>
        <w:t xml:space="preserve">NL859876543B01</w:t>
      </w:r>
    </w:p>
    <w:p>
      <w:pPr>
        <w:pStyle w:val="BodyText"/>
      </w:pPr>
      <w:r>
        <w:t xml:space="preserve">Contact:</w:t>
      </w:r>
      <w:r>
        <w:t xml:space="preserve"> </w:t>
      </w:r>
      <w:r>
        <w:t xml:space="preserve">Mr. J. van der Berg, CFO</w:t>
      </w:r>
    </w:p>
    <w:bookmarkEnd w:id="22"/>
    <w:bookmarkStart w:id="23" w:name="invoice-details"/>
    <w:p>
      <w:pPr>
        <w:pStyle w:val="Heading3"/>
      </w:pPr>
      <w:r>
        <w:t xml:space="preserve">Invoice Details</w:t>
      </w:r>
    </w:p>
    <w:p>
      <w:pPr>
        <w:pStyle w:val="FirstParagraph"/>
      </w:pPr>
      <w:r>
        <w:t xml:space="preserve">Invoice Date:</w:t>
      </w:r>
      <w:r>
        <w:t xml:space="preserve"> </w:t>
      </w:r>
      <w:r>
        <w:t xml:space="preserve">15 June 2025</w:t>
      </w:r>
    </w:p>
    <w:p>
      <w:pPr>
        <w:pStyle w:val="BodyText"/>
      </w:pPr>
      <w:r>
        <w:t xml:space="preserve">Due Date:</w:t>
      </w:r>
      <w:r>
        <w:t xml:space="preserve"> </w:t>
      </w:r>
      <w:r>
        <w:t xml:space="preserve">15 July 2025 (30 days)</w:t>
      </w:r>
    </w:p>
    <w:p>
      <w:pPr>
        <w:pStyle w:val="BodyText"/>
      </w:pPr>
      <w:r>
        <w:t xml:space="preserve">Service Period:</w:t>
      </w:r>
      <w:r>
        <w:t xml:space="preserve"> </w:t>
      </w:r>
      <w:r>
        <w:t xml:space="preserve">01 Jan 2025 – 31 May 2025</w:t>
      </w:r>
    </w:p>
    <w:p>
      <w:pPr>
        <w:pStyle w:val="BodyText"/>
      </w:pPr>
      <w:r>
        <w:t xml:space="preserve">Currency:</w:t>
      </w:r>
      <w:r>
        <w:t xml:space="preserve"> </w:t>
      </w:r>
      <w:r>
        <w:t xml:space="preserve">EUR (€)</w:t>
      </w:r>
    </w:p>
    <w:p>
      <w:pPr>
        <w:pStyle w:val="BodyText"/>
      </w:pPr>
      <w:r>
        <w:t xml:space="preserve">Payment Method:</w:t>
      </w:r>
      <w:r>
        <w:t xml:space="preserve"> </w:t>
      </w:r>
      <w:r>
        <w:t xml:space="preserve">Bank Transfer (IBAN)</w:t>
      </w:r>
    </w:p>
    <w:p>
      <w:pPr>
        <w:pStyle w:val="BodyText"/>
      </w:pPr>
      <w:r>
        <w:t xml:space="preserve">IBAN:</w:t>
      </w:r>
      <w:r>
        <w:t xml:space="preserve"> </w:t>
      </w:r>
      <w:r>
        <w:t xml:space="preserve">NL91 ABNA 0417 1643 00</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Annual Financial Audit – Preparation and execution of the statutory audit in accordance with Dutch Audit Standards (NBA). The Auditor conducted a comprehensive review of the general ledger, balance sheet, and profit &amp; loss statement for the fiscal year 2024.</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2</w:t>
            </w:r>
          </w:p>
        </w:tc>
        <w:tc>
          <w:tcPr/>
          <w:p>
            <w:pPr>
              <w:pStyle w:val="Compact"/>
              <w:jc w:val="left"/>
            </w:pPr>
            <w:r>
              <w:t xml:space="preserve">Internal Controls Assessment – The Auditor evaluated the effectiveness of internal control frameworks, identified material weaknesses, and provided remediation recommendations to management in Netherlands Amsterdam.</w:t>
            </w:r>
          </w:p>
        </w:tc>
        <w:tc>
          <w:tcPr/>
          <w:p>
            <w:pPr>
              <w:pStyle w:val="Compact"/>
              <w:jc w:val="left"/>
            </w:pPr>
            <w:r>
              <w:t xml:space="preserve">65</w:t>
            </w:r>
          </w:p>
        </w:tc>
        <w:tc>
          <w:tcPr/>
          <w:p>
            <w:pPr>
              <w:pStyle w:val="Compact"/>
              <w:jc w:val="left"/>
            </w:pPr>
            <w:r>
              <w:t xml:space="preserve">€135.00</w:t>
            </w:r>
          </w:p>
        </w:tc>
        <w:tc>
          <w:tcPr/>
          <w:p>
            <w:pPr>
              <w:pStyle w:val="Compact"/>
              <w:jc w:val="left"/>
            </w:pPr>
            <w:r>
              <w:t xml:space="preserve">€8,775.00</w:t>
            </w:r>
          </w:p>
        </w:tc>
      </w:tr>
      <w:tr>
        <w:tc>
          <w:tcPr/>
          <w:p>
            <w:pPr>
              <w:pStyle w:val="Compact"/>
              <w:jc w:val="left"/>
            </w:pPr>
            <w:r>
              <w:t xml:space="preserve">3</w:t>
            </w:r>
          </w:p>
        </w:tc>
        <w:tc>
          <w:tcPr/>
          <w:p>
            <w:pPr>
              <w:pStyle w:val="Compact"/>
              <w:jc w:val="left"/>
            </w:pPr>
            <w:r>
              <w:t xml:space="preserve">Tax Compliance Review – The Auditor performed a detailed review of corporate tax filings, VAT declarations, and withholding tax obligations to ensure full compliance with Dutch tax legislation administered by the Belastingdienst.</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4</w:t>
            </w:r>
          </w:p>
        </w:tc>
        <w:tc>
          <w:tcPr/>
          <w:p>
            <w:pPr>
              <w:pStyle w:val="Compact"/>
              <w:jc w:val="left"/>
            </w:pPr>
            <w:r>
              <w:t xml:space="preserve">IFRS Alignment Audit – The Auditor assessed the company's financial reporting against International Financial Reporting Standards and provided an independent opinion on the fair presentation of financial statements.</w:t>
            </w:r>
          </w:p>
        </w:tc>
        <w:tc>
          <w:tcPr/>
          <w:p>
            <w:pPr>
              <w:pStyle w:val="Compact"/>
              <w:jc w:val="left"/>
            </w:pPr>
            <w:r>
              <w:t xml:space="preserve">55</w:t>
            </w:r>
          </w:p>
        </w:tc>
        <w:tc>
          <w:tcPr/>
          <w:p>
            <w:pPr>
              <w:pStyle w:val="Compact"/>
              <w:jc w:val="left"/>
            </w:pPr>
            <w:r>
              <w:t xml:space="preserve">€150.00</w:t>
            </w:r>
          </w:p>
        </w:tc>
        <w:tc>
          <w:tcPr/>
          <w:p>
            <w:pPr>
              <w:pStyle w:val="Compact"/>
              <w:jc w:val="left"/>
            </w:pPr>
            <w:r>
              <w:t xml:space="preserve">€8,250.00</w:t>
            </w:r>
          </w:p>
        </w:tc>
      </w:tr>
      <w:tr>
        <w:tc>
          <w:tcPr/>
          <w:p>
            <w:pPr>
              <w:pStyle w:val="Compact"/>
              <w:jc w:val="left"/>
            </w:pPr>
            <w:r>
              <w:t xml:space="preserve">5</w:t>
            </w:r>
          </w:p>
        </w:tc>
        <w:tc>
          <w:tcPr/>
          <w:p>
            <w:pPr>
              <w:pStyle w:val="Compact"/>
              <w:jc w:val="left"/>
            </w:pPr>
            <w:r>
              <w:t xml:space="preserve">Board of Directors Advisory – The Auditor provided ongoing advisory sessions to the Board of Directors and Supervisory Board in Netherlands Amsterdam regarding governance, risk management, and financial transparency.</w:t>
            </w:r>
          </w:p>
        </w:tc>
        <w:tc>
          <w:tcPr/>
          <w:p>
            <w:pPr>
              <w:pStyle w:val="Compact"/>
              <w:jc w:val="left"/>
            </w:pPr>
            <w:r>
              <w:t xml:space="preserve">30</w:t>
            </w:r>
          </w:p>
        </w:tc>
        <w:tc>
          <w:tcPr/>
          <w:p>
            <w:pPr>
              <w:pStyle w:val="Compact"/>
              <w:jc w:val="left"/>
            </w:pPr>
            <w:r>
              <w:t xml:space="preserve">€160.00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IT General Controls Audit – The Auditor examined IT infrastructure, access controls, data integrity, and cybersecurity protocols to ensure the reliability of systems supporting financial reporting.</w:t>
            </w:r>
          </w:p>
        </w:tc>
        <w:tc>
          <w:tcPr/>
          <w:p>
            <w:pPr>
              <w:pStyle w:val="Compact"/>
              <w:jc w:val="left"/>
            </w:pPr>
            <w:r>
              <w:t xml:space="preserve">45</w:t>
            </w:r>
          </w:p>
        </w:tc>
        <w:tc>
          <w:tcPr/>
          <w:p>
            <w:pPr>
              <w:pStyle w:val="Compact"/>
              <w:jc w:val="left"/>
            </w:pPr>
            <w:r>
              <w:t xml:space="preserve">€140.00</w:t>
            </w:r>
          </w:p>
        </w:tc>
        <w:tc>
          <w:tcPr/>
          <w:p>
            <w:pPr>
              <w:pStyle w:val="Compact"/>
              <w:jc w:val="left"/>
            </w:pPr>
            <w:r>
              <w:t xml:space="preserve">€6,300.00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€50,525.00</w:t>
            </w:r>
          </w:p>
        </w:tc>
      </w:tr>
      <w:tr>
        <w:tc>
          <w:tcPr/>
          <w:p>
            <w:pPr>
              <w:pStyle w:val="Compact"/>
              <w:jc w:val="left"/>
            </w:pPr>
            <w:r>
              <w:t xml:space="preserve">VAT (21%)</w:t>
            </w:r>
          </w:p>
        </w:tc>
        <w:tc>
          <w:tcPr/>
          <w:p>
            <w:pPr>
              <w:pStyle w:val="Compact"/>
              <w:jc w:val="left"/>
            </w:pPr>
            <w:r>
              <w:t xml:space="preserve">€10,610.25</w:t>
            </w:r>
          </w:p>
        </w:tc>
      </w:tr>
      <w:tr>
        <w:tc>
          <w:tcPr/>
          <w:p>
            <w:pPr>
              <w:pStyle w:val="Compact"/>
              <w:jc w:val="left"/>
            </w:pPr>
            <w:r>
              <w:t xml:space="preserve">Discount (Early Payment – 2%)</w:t>
            </w:r>
          </w:p>
        </w:tc>
        <w:tc>
          <w:tcPr/>
          <w:p>
            <w:pPr>
              <w:pStyle w:val="Compact"/>
              <w:jc w:val="left"/>
            </w:pPr>
            <w:r>
              <w:t xml:space="preserve">-€1,010.50</w:t>
            </w:r>
          </w:p>
        </w:tc>
      </w:tr>
      <w:tr>
        <w:tc>
          <w:tcPr/>
          <w:p>
            <w:pPr>
              <w:pStyle w:val="Compact"/>
              <w:jc w:val="left"/>
            </w:pPr>
            <w:r>
              <w:t xml:space="preserve">TOTAL DUE</w:t>
            </w:r>
          </w:p>
        </w:tc>
        <w:tc>
          <w:tcPr/>
          <w:p>
            <w:pPr>
              <w:pStyle w:val="Compact"/>
              <w:jc w:val="left"/>
            </w:pPr>
            <w:r>
              <w:t xml:space="preserve">€60,124.75</w:t>
            </w:r>
          </w:p>
        </w:tc>
      </w:tr>
    </w:tbl>
    <w:bookmarkStart w:id="24" w:name="invoice-notes-terms"/>
    <w:p>
      <w:pPr>
        <w:pStyle w:val="Heading3"/>
      </w:pPr>
      <w:r>
        <w:t xml:space="preserve">Invoice Notes &amp; Terms</w:t>
      </w:r>
    </w:p>
    <w:p>
      <w:pPr>
        <w:pStyle w:val="FirstParagraph"/>
      </w:pPr>
      <w:r>
        <w:rPr>
          <w:bCs/>
          <w:b/>
        </w:rPr>
        <w:t xml:space="preserve">1.</w:t>
      </w:r>
      <w:r>
        <w:t xml:space="preserve"> </w:t>
      </w:r>
      <w:r>
        <w:t xml:space="preserve">This Invoice is issued by Amsterdam Audit &amp; Advisory B.V., a registered Auditor firm operating in Netherlands Amsterdam, in accordance with the Dutch Civil Code (Burgerlijk Wetboek) and the NBA (Netherlands Association of Registered Auditors) professional standards.</w:t>
      </w:r>
    </w:p>
    <w:p>
      <w:pPr>
        <w:pStyle w:val="BodyText"/>
      </w:pPr>
      <w:r>
        <w:rPr>
          <w:bCs/>
          <w:b/>
        </w:rPr>
        <w:t xml:space="preserve">2.</w:t>
      </w:r>
      <w:r>
        <w:t xml:space="preserve"> </w:t>
      </w:r>
      <w:r>
        <w:t xml:space="preserve">Payment of this Invoice is due within thirty (30) calendar days from the Invoice date. Late payments shall accrue interest at the statutory rate as defined in Article 6:119a of the Dutch Civil Code.</w:t>
      </w:r>
    </w:p>
    <w:p>
      <w:pPr>
        <w:pStyle w:val="BodyText"/>
      </w:pPr>
      <w:r>
        <w:rPr>
          <w:bCs/>
          <w:b/>
        </w:rPr>
        <w:t xml:space="preserve">3.</w:t>
      </w:r>
      <w:r>
        <w:t xml:space="preserve"> </w:t>
      </w:r>
      <w:r>
        <w:t xml:space="preserve">The Auditor services described in this Invoice were performed in full compliance with the independence and objectivity requirements set forth by the NBA and the European Union Audit Regulation (EU) No 537/2014.</w:t>
      </w:r>
    </w:p>
    <w:p>
      <w:pPr>
        <w:pStyle w:val="BodyText"/>
      </w:pPr>
      <w:r>
        <w:rPr>
          <w:bCs/>
          <w:b/>
        </w:rPr>
        <w:t xml:space="preserve">4.</w:t>
      </w:r>
      <w:r>
        <w:t xml:space="preserve"> </w:t>
      </w:r>
      <w:r>
        <w:t xml:space="preserve">All Auditor work papers, reports, and supporting documentation related to this Invoice are retained for a minimum period of ten (10) years in accordance with Dutch statutory retention requirements.</w:t>
      </w:r>
    </w:p>
    <w:p>
      <w:pPr>
        <w:pStyle w:val="BodyText"/>
      </w:pPr>
      <w:r>
        <w:rPr>
          <w:bCs/>
          <w:b/>
        </w:rPr>
        <w:t xml:space="preserve">5.</w:t>
      </w:r>
      <w:r>
        <w:t xml:space="preserve"> </w:t>
      </w:r>
      <w:r>
        <w:t xml:space="preserve">Should the client require any clarification regarding the line items on this Invoice, please contact the Auditor engagement partner directly at the office in Netherlands Amsterdam. Disputes must be raised in writing within fourteen (14) days of the Invoice date.</w:t>
      </w:r>
    </w:p>
    <w:p>
      <w:pPr>
        <w:pStyle w:val="BodyText"/>
      </w:pPr>
      <w:r>
        <w:rPr>
          <w:bCs/>
          <w:b/>
        </w:rPr>
        <w:t xml:space="preserve">6.</w:t>
      </w:r>
      <w:r>
        <w:t xml:space="preserve"> </w:t>
      </w:r>
      <w:r>
        <w:t xml:space="preserve">This Invoice is subject to the general terms and conditions of Amsterdam Audit &amp; Advisory B.V., which are available upon request. The Auditor reserves the right to suspend further services in the event of non-payment beyond the due date specified on this Invoice.</w:t>
      </w:r>
    </w:p>
    <w:p>
      <w:pPr>
        <w:pStyle w:val="BodyText"/>
      </w:pPr>
      <w:r>
        <w:rPr>
          <w:bCs/>
          <w:b/>
        </w:rPr>
        <w:t xml:space="preserve">7.</w:t>
      </w:r>
      <w:r>
        <w:t xml:space="preserve"> </w:t>
      </w:r>
      <w:r>
        <w:t xml:space="preserve">The Auditor confirms that all services rendered were performed by qualified and registered Auditor professionals holding valid NBA registration numbers, and that no conflict of interest existed during the engagement period.</w:t>
      </w:r>
    </w:p>
    <w:bookmarkEnd w:id="24"/>
    <w:p>
      <w:pPr>
        <w:pStyle w:val="BodyText"/>
      </w:pPr>
      <w:r>
        <w:rPr>
          <w:bCs/>
          <w:b/>
        </w:rPr>
        <w:t xml:space="preserve">Amsterdam Audit &amp; Advisory B.V.</w:t>
      </w:r>
      <w:r>
        <w:t xml:space="preserve"> </w:t>
      </w:r>
      <w:r>
        <w:t xml:space="preserve">– Registered Auditor Firm in Netherlands Amsterdam</w:t>
      </w:r>
    </w:p>
    <w:p>
      <w:pPr>
        <w:pStyle w:val="BodyText"/>
      </w:pPr>
      <w:r>
        <w:t xml:space="preserve">Chamber of Commerce (KvK): 87654321 | VAT (BTW): NL861234567B01</w:t>
      </w:r>
    </w:p>
    <w:p>
      <w:pPr>
        <w:pStyle w:val="BodyText"/>
      </w:pPr>
      <w:r>
        <w:t xml:space="preserve">Bank: ABN AMRO | IBAN: NL91 ABNA 0417 1643 00 | BIC: ABNANL2A</w:t>
      </w:r>
    </w:p>
    <w:p>
      <w:pPr>
        <w:pStyle w:val="BodyText"/>
      </w:pPr>
      <w:r>
        <w:t xml:space="preserve">This Invoice was generated electronically and is valid without a physical signature in accordance with Dutch electronic invoicing regulations.</w:t>
      </w:r>
    </w:p>
    <w:p>
      <w:pPr>
        <w:pStyle w:val="BodyText"/>
      </w:pPr>
      <w:r>
        <w:t xml:space="preserve">© 2025 Amsterdam Audit &amp; Advisory B.V. – All rights reserved. Invoice INV-2025-00847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Netherlands Amsterdam</dc:title>
  <dc:creator/>
  <dc:language>en</dc:language>
  <cp:keywords/>
  <dcterms:created xsi:type="dcterms:W3CDTF">2026-10-10T06:20:41Z</dcterms:created>
  <dcterms:modified xsi:type="dcterms:W3CDTF">2026-10-10T06:20:41Z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