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Audit</w:t>
      </w:r>
      <w:r>
        <w:t xml:space="preserve"> </w:t>
      </w:r>
      <w:r>
        <w:t xml:space="preserve">Services</w:t>
      </w:r>
      <w:r>
        <w:t xml:space="preserve"> </w:t>
      </w:r>
      <w:r>
        <w:t xml:space="preserve">-</w:t>
      </w:r>
      <w:r>
        <w:t xml:space="preserve"> </w:t>
      </w:r>
      <w:r>
        <w:t xml:space="preserve">Lima,</w:t>
      </w:r>
      <w:r>
        <w:t xml:space="preserve"> </w:t>
      </w:r>
      <w:r>
        <w:t xml:space="preserve">Peru</w:t>
      </w:r>
    </w:p>
    <w:bookmarkStart w:id="20" w:name="andina-audit-advisory-s.a.c."/>
    <w:p>
      <w:pPr>
        <w:pStyle w:val="Heading1"/>
      </w:pPr>
      <w:r>
        <w:t xml:space="preserve">Andina Audit &amp; Advisory S.A.C.</w:t>
      </w:r>
    </w:p>
    <w:p>
      <w:pPr>
        <w:pStyle w:val="FirstParagraph"/>
      </w:pPr>
      <w:r>
        <w:t xml:space="preserve">RUC: 20601234567</w:t>
      </w:r>
    </w:p>
    <w:p>
      <w:pPr>
        <w:pStyle w:val="BodyText"/>
      </w:pPr>
      <w:r>
        <w:t xml:space="preserve">Av. Javier Prado Este 1250, Of. 804</w:t>
      </w:r>
    </w:p>
    <w:p>
      <w:pPr>
        <w:pStyle w:val="BodyText"/>
      </w:pPr>
      <w:r>
        <w:t xml:space="preserve">San Isidro, Lima 15081, Peru</w:t>
      </w:r>
    </w:p>
    <w:p>
      <w:pPr>
        <w:pStyle w:val="BodyText"/>
      </w:pPr>
      <w:r>
        <w:t xml:space="preserve">Tel: +51 1 445-6789 | Email: billing@andinaaudit.pe</w:t>
      </w:r>
    </w:p>
    <w:p>
      <w:pPr>
        <w:pStyle w:val="BodyText"/>
      </w:pPr>
      <w:r>
        <w:t xml:space="preserve">Registered with the Colegio de Contadores Públicos de Lima</w:t>
      </w:r>
    </w:p>
    <w:bookmarkEnd w:id="20"/>
    <w:bookmarkStart w:id="21" w:name="invoice"/>
    <w:p>
      <w:pPr>
        <w:pStyle w:val="Heading2"/>
      </w:pPr>
      <w:r>
        <w:t xml:space="preserve">INVOICE</w:t>
      </w:r>
    </w:p>
    <w:p>
      <w:pPr>
        <w:pStyle w:val="FirstParagraph"/>
      </w:pPr>
      <w:r>
        <w:t xml:space="preserve">Audit Services</w:t>
      </w:r>
    </w:p>
    <w:p>
      <w:pPr>
        <w:pStyle w:val="BodyText"/>
      </w:pPr>
      <w:r>
        <w:t xml:space="preserve">Invoice No.: INV-2025-00487</w:t>
      </w:r>
    </w:p>
    <w:p>
      <w:pPr>
        <w:pStyle w:val="BodyText"/>
      </w:pPr>
      <w:r>
        <w:t xml:space="preserve">Issue Date: June 15, 2025</w:t>
      </w:r>
    </w:p>
    <w:p>
      <w:pPr>
        <w:pStyle w:val="BodyText"/>
      </w:pPr>
      <w:r>
        <w:t xml:space="preserve">Due Date: July 15, 2025</w:t>
      </w:r>
    </w:p>
    <w:bookmarkEnd w:id="21"/>
    <w:bookmarkStart w:id="22" w:name="billed-to-client"/>
    <w:p>
      <w:pPr>
        <w:pStyle w:val="Heading3"/>
      </w:pPr>
      <w:r>
        <w:t xml:space="preserve">Billed To (Client)</w:t>
      </w:r>
    </w:p>
    <w:p>
      <w:pPr>
        <w:pStyle w:val="FirstParagraph"/>
      </w:pPr>
      <w:r>
        <w:rPr>
          <w:bCs/>
          <w:b/>
        </w:rPr>
        <w:t xml:space="preserve">Ministerio de Economía y Finanzas del Perú</w:t>
      </w:r>
    </w:p>
    <w:p>
      <w:pPr>
        <w:pStyle w:val="BodyText"/>
      </w:pPr>
      <w:r>
        <w:t xml:space="preserve">Av. España 1350, San Isidro</w:t>
      </w:r>
    </w:p>
    <w:p>
      <w:pPr>
        <w:pStyle w:val="BodyText"/>
      </w:pPr>
      <w:r>
        <w:t xml:space="preserve">Lima 15081, Peru</w:t>
      </w:r>
    </w:p>
    <w:p>
      <w:pPr>
        <w:pStyle w:val="BodyText"/>
      </w:pPr>
      <w:r>
        <w:t xml:space="preserve">Attn: Lic. María Elena Quispe Torres</w:t>
      </w:r>
    </w:p>
    <w:p>
      <w:pPr>
        <w:pStyle w:val="BodyText"/>
      </w:pPr>
      <w:r>
        <w:t xml:space="preserve">Director of External Audit Coordination</w:t>
      </w:r>
    </w:p>
    <w:bookmarkEnd w:id="22"/>
    <w:bookmarkStart w:id="23" w:name="project-reference"/>
    <w:p>
      <w:pPr>
        <w:pStyle w:val="Heading3"/>
      </w:pPr>
      <w:r>
        <w:t xml:space="preserve">Project Reference</w:t>
      </w:r>
    </w:p>
    <w:p>
      <w:pPr>
        <w:pStyle w:val="FirstParagraph"/>
      </w:pPr>
      <w:r>
        <w:t xml:space="preserve">Contract No.: MEF-AUD-2025-0034</w:t>
      </w:r>
    </w:p>
    <w:p>
      <w:pPr>
        <w:pStyle w:val="BodyText"/>
      </w:pPr>
      <w:r>
        <w:t xml:space="preserve">Scope: Annual Financial Audit</w:t>
      </w:r>
    </w:p>
    <w:p>
      <w:pPr>
        <w:pStyle w:val="BodyText"/>
      </w:pPr>
      <w:r>
        <w:t xml:space="preserve">Fiscal Year: 2024</w:t>
      </w:r>
    </w:p>
    <w:p>
      <w:pPr>
        <w:pStyle w:val="BodyText"/>
      </w:pPr>
      <w:r>
        <w:t xml:space="preserve">Location: Lima, Peru</w:t>
      </w:r>
    </w:p>
    <w:bookmarkEnd w:id="23"/>
    <w:bookmarkStart w:id="24" w:name="payment-details"/>
    <w:p>
      <w:pPr>
        <w:pStyle w:val="Heading3"/>
      </w:pPr>
      <w:r>
        <w:t xml:space="preserve">Payment Details</w:t>
      </w:r>
    </w:p>
    <w:p>
      <w:pPr>
        <w:pStyle w:val="FirstParagraph"/>
      </w:pPr>
      <w:r>
        <w:t xml:space="preserve">Bank: Banco de Crédito del Perú (BCP)</w:t>
      </w:r>
    </w:p>
    <w:p>
      <w:pPr>
        <w:pStyle w:val="BodyText"/>
      </w:pPr>
      <w:r>
        <w:t xml:space="preserve">Account: 191-12345678-0-12</w:t>
      </w:r>
    </w:p>
    <w:p>
      <w:pPr>
        <w:pStyle w:val="BodyText"/>
      </w:pPr>
      <w:r>
        <w:t xml:space="preserve">IBAN: PE18 0021 0000 1911 2345 6780 12</w:t>
      </w:r>
    </w:p>
    <w:p>
      <w:pPr>
        <w:pStyle w:val="BodyText"/>
      </w:pPr>
      <w:r>
        <w:t xml:space="preserve">SWIFT: BCPYPELM</w:t>
      </w:r>
    </w:p>
    <w:bookmarkEnd w:id="24"/>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Audit Services</w:t>
            </w:r>
          </w:p>
        </w:tc>
        <w:tc>
          <w:tcPr/>
          <w:p>
            <w:pPr>
              <w:pStyle w:val="Compact"/>
              <w:jc w:val="left"/>
            </w:pPr>
            <w:r>
              <w:t xml:space="preserve">Hours</w:t>
            </w:r>
          </w:p>
        </w:tc>
        <w:tc>
          <w:tcPr/>
          <w:p>
            <w:pPr>
              <w:pStyle w:val="Compact"/>
              <w:jc w:val="left"/>
            </w:pPr>
            <w:r>
              <w:t xml:space="preserve">Rate (PEN)</w:t>
            </w:r>
          </w:p>
        </w:tc>
        <w:tc>
          <w:tcPr/>
          <w:p>
            <w:pPr>
              <w:pStyle w:val="Compact"/>
              <w:jc w:val="left"/>
            </w:pPr>
            <w:r>
              <w:t xml:space="preserve">Amount (PEN)</w:t>
            </w:r>
          </w:p>
        </w:tc>
        <w:tc>
          <w:tcPr/>
          <w:p>
            <w:pPr>
              <w:pStyle w:val="Compact"/>
              <w:jc w:val="left"/>
            </w:pPr>
            <w:r>
              <w:t xml:space="preserve">Date</w:t>
            </w:r>
          </w:p>
        </w:tc>
      </w:tr>
      <w:tr>
        <w:tc>
          <w:tcPr/>
          <w:p>
            <w:pPr>
              <w:pStyle w:val="Compact"/>
              <w:jc w:val="left"/>
            </w:pPr>
            <w:r>
              <w:t xml:space="preserve">1</w:t>
            </w:r>
          </w:p>
        </w:tc>
        <w:tc>
          <w:tcPr/>
          <w:p>
            <w:pPr>
              <w:pStyle w:val="Compact"/>
              <w:jc w:val="left"/>
            </w:pPr>
            <w:r>
              <w:t xml:space="preserve">Planning and risk assessment for the annual financial audit of the Ministry of Economy and Finance. Includes preparation of the audit program, identification of materiality thresholds, and coordination with internal audit teams in Lima.</w:t>
            </w:r>
          </w:p>
        </w:tc>
        <w:tc>
          <w:tcPr/>
          <w:p>
            <w:pPr>
              <w:pStyle w:val="Compact"/>
              <w:jc w:val="left"/>
            </w:pPr>
            <w:r>
              <w:t xml:space="preserve">48</w:t>
            </w:r>
          </w:p>
        </w:tc>
        <w:tc>
          <w:tcPr/>
          <w:p>
            <w:pPr>
              <w:pStyle w:val="Compact"/>
              <w:jc w:val="left"/>
            </w:pPr>
            <w:r>
              <w:t xml:space="preserve">S/ 320.00</w:t>
            </w:r>
          </w:p>
        </w:tc>
        <w:tc>
          <w:tcPr/>
          <w:p>
            <w:pPr>
              <w:pStyle w:val="Compact"/>
              <w:jc w:val="left"/>
            </w:pPr>
            <w:r>
              <w:t xml:space="preserve">S/ 15,360.00</w:t>
            </w:r>
          </w:p>
        </w:tc>
        <w:tc>
          <w:tcPr/>
          <w:p>
            <w:pPr>
              <w:pStyle w:val="Compact"/>
              <w:jc w:val="left"/>
            </w:pPr>
            <w:r>
              <w:t xml:space="preserve">Jan 06 – Jan 17, 2025</w:t>
            </w:r>
          </w:p>
        </w:tc>
      </w:tr>
      <w:tr>
        <w:tc>
          <w:tcPr/>
          <w:p>
            <w:pPr>
              <w:pStyle w:val="Compact"/>
              <w:jc w:val="left"/>
            </w:pPr>
            <w:r>
              <w:t xml:space="preserve">2</w:t>
            </w:r>
          </w:p>
        </w:tc>
        <w:tc>
          <w:tcPr/>
          <w:p>
            <w:pPr>
              <w:pStyle w:val="Compact"/>
              <w:jc w:val="left"/>
            </w:pPr>
            <w:r>
              <w:t xml:space="preserve">Substantive testing of financial statements including verification of revenue recognition, expenditure classification, and reconciliation of bank accounts held at the Central Reserve Bank of Peru (BCRP) in Lima.</w:t>
            </w:r>
          </w:p>
        </w:tc>
        <w:tc>
          <w:tcPr/>
          <w:p>
            <w:pPr>
              <w:pStyle w:val="Compact"/>
              <w:jc w:val="left"/>
            </w:pPr>
            <w:r>
              <w:t xml:space="preserve">120</w:t>
            </w:r>
          </w:p>
        </w:tc>
        <w:tc>
          <w:tcPr/>
          <w:p>
            <w:pPr>
              <w:pStyle w:val="Compact"/>
              <w:jc w:val="left"/>
            </w:pPr>
            <w:r>
              <w:t xml:space="preserve">S/ 320.00</w:t>
            </w:r>
          </w:p>
        </w:tc>
        <w:tc>
          <w:tcPr/>
          <w:p>
            <w:pPr>
              <w:pStyle w:val="Compact"/>
              <w:jc w:val="left"/>
            </w:pPr>
            <w:r>
              <w:t xml:space="preserve">S/ 38,400.00</w:t>
            </w:r>
          </w:p>
        </w:tc>
        <w:tc>
          <w:tcPr/>
          <w:p>
            <w:pPr>
              <w:pStyle w:val="Compact"/>
              <w:jc w:val="left"/>
            </w:pPr>
            <w:r>
              <w:t xml:space="preserve">Feb 03 – Mar 14, 2025</w:t>
            </w:r>
          </w:p>
        </w:tc>
      </w:tr>
      <w:tr>
        <w:tc>
          <w:tcPr/>
          <w:p>
            <w:pPr>
              <w:pStyle w:val="Compact"/>
              <w:jc w:val="left"/>
            </w:pPr>
            <w:r>
              <w:t xml:space="preserve">3</w:t>
            </w:r>
          </w:p>
        </w:tc>
        <w:tc>
          <w:tcPr/>
          <w:p>
            <w:pPr>
              <w:pStyle w:val="Compact"/>
              <w:jc w:val="left"/>
            </w:pPr>
            <w:r>
              <w:t xml:space="preserve">Compliance audit of public procurement processes under Law No. 30225 (General Procurement Law) and its regulations. Review of 47 procurement contracts executed during fiscal year 2024 in the Lima metropolitan area.</w:t>
            </w:r>
          </w:p>
        </w:tc>
        <w:tc>
          <w:tcPr/>
          <w:p>
            <w:pPr>
              <w:pStyle w:val="Compact"/>
              <w:jc w:val="left"/>
            </w:pPr>
            <w:r>
              <w:t xml:space="preserve">80</w:t>
            </w:r>
          </w:p>
        </w:tc>
        <w:tc>
          <w:tcPr/>
          <w:p>
            <w:pPr>
              <w:pStyle w:val="Compact"/>
              <w:jc w:val="left"/>
            </w:pPr>
            <w:r>
              <w:t xml:space="preserve">S/ 350.00</w:t>
            </w:r>
          </w:p>
        </w:tc>
        <w:tc>
          <w:tcPr/>
          <w:p>
            <w:pPr>
              <w:pStyle w:val="Compact"/>
              <w:jc w:val="left"/>
            </w:pPr>
            <w:r>
              <w:t xml:space="preserve">S/ 28,000.00</w:t>
            </w:r>
          </w:p>
        </w:tc>
        <w:tc>
          <w:tcPr/>
          <w:p>
            <w:pPr>
              <w:pStyle w:val="Compact"/>
              <w:jc w:val="left"/>
            </w:pPr>
            <w:r>
              <w:t xml:space="preserve">Mar 17 – Apr 11, 2025</w:t>
            </w:r>
          </w:p>
        </w:tc>
      </w:tr>
      <w:tr>
        <w:tc>
          <w:tcPr/>
          <w:p>
            <w:pPr>
              <w:pStyle w:val="Compact"/>
              <w:jc w:val="left"/>
            </w:pPr>
            <w:r>
              <w:t xml:space="preserve">4</w:t>
            </w:r>
          </w:p>
        </w:tc>
        <w:tc>
          <w:tcPr/>
          <w:p>
            <w:pPr>
              <w:pStyle w:val="Compact"/>
              <w:jc w:val="left"/>
            </w:pPr>
            <w:r>
              <w:t xml:space="preserve">Internal control assessment and SOX-equivalent evaluation of IT systems used for budget execution and financial reporting. Includes penetration testing of the SIAF (Integrated Financial Administration System) hosted in Lima data centers.</w:t>
            </w:r>
          </w:p>
        </w:tc>
        <w:tc>
          <w:tcPr/>
          <w:p>
            <w:pPr>
              <w:pStyle w:val="Compact"/>
              <w:jc w:val="left"/>
            </w:pPr>
            <w:r>
              <w:t xml:space="preserve">64</w:t>
            </w:r>
          </w:p>
        </w:tc>
        <w:tc>
          <w:tcPr/>
          <w:p>
            <w:pPr>
              <w:pStyle w:val="Compact"/>
              <w:jc w:val="left"/>
            </w:pPr>
            <w:r>
              <w:t xml:space="preserve">S/ 380.00</w:t>
            </w:r>
          </w:p>
        </w:tc>
        <w:tc>
          <w:tcPr/>
          <w:p>
            <w:pPr>
              <w:pStyle w:val="Compact"/>
              <w:jc w:val="left"/>
            </w:pPr>
            <w:r>
              <w:t xml:space="preserve">S/ 24,320.00</w:t>
            </w:r>
          </w:p>
        </w:tc>
        <w:tc>
          <w:tcPr/>
          <w:p>
            <w:pPr>
              <w:pStyle w:val="Compact"/>
              <w:jc w:val="left"/>
            </w:pPr>
            <w:r>
              <w:t xml:space="preserve">Apr 14 – May 02, 2025</w:t>
            </w:r>
          </w:p>
        </w:tc>
      </w:tr>
      <w:tr>
        <w:tc>
          <w:tcPr/>
          <w:p>
            <w:pPr>
              <w:pStyle w:val="Compact"/>
              <w:jc w:val="left"/>
            </w:pPr>
            <w:r>
              <w:t xml:space="preserve">5</w:t>
            </w:r>
          </w:p>
        </w:tc>
        <w:tc>
          <w:tcPr/>
          <w:p>
            <w:pPr>
              <w:pStyle w:val="Compact"/>
              <w:jc w:val="left"/>
            </w:pPr>
            <w:r>
              <w:t xml:space="preserve">Preparation and issuance of the independent auditor's report, management letter, and corrective action recommendations. Includes presentation of findings to the Board of Directors and the Contraloría General de la República in Lima.</w:t>
            </w:r>
          </w:p>
        </w:tc>
        <w:tc>
          <w:tcPr/>
          <w:p>
            <w:pPr>
              <w:pStyle w:val="Compact"/>
              <w:jc w:val="left"/>
            </w:pPr>
            <w:r>
              <w:t xml:space="preserve">40</w:t>
            </w:r>
          </w:p>
        </w:tc>
        <w:tc>
          <w:tcPr/>
          <w:p>
            <w:pPr>
              <w:pStyle w:val="Compact"/>
              <w:jc w:val="left"/>
            </w:pPr>
            <w:r>
              <w:t xml:space="preserve">S/ 350.00</w:t>
            </w:r>
          </w:p>
        </w:tc>
        <w:tc>
          <w:tcPr/>
          <w:p>
            <w:pPr>
              <w:pStyle w:val="Compact"/>
              <w:jc w:val="left"/>
            </w:pPr>
            <w:r>
              <w:t xml:space="preserve">S/ 14,000.00</w:t>
            </w:r>
          </w:p>
        </w:tc>
        <w:tc>
          <w:tcPr/>
          <w:p>
            <w:pPr>
              <w:pStyle w:val="Compact"/>
              <w:jc w:val="left"/>
            </w:pPr>
            <w:r>
              <w:t xml:space="preserve">May 19 – Jun 06, 2025</w:t>
            </w:r>
          </w:p>
        </w:tc>
      </w:tr>
      <w:tr>
        <w:tc>
          <w:tcPr/>
          <w:p>
            <w:pPr>
              <w:pStyle w:val="Compact"/>
              <w:jc w:val="left"/>
            </w:pPr>
            <w:r>
              <w:t xml:space="preserve">6</w:t>
            </w:r>
          </w:p>
        </w:tc>
        <w:tc>
          <w:tcPr/>
          <w:p>
            <w:pPr>
              <w:pStyle w:val="Compact"/>
              <w:jc w:val="left"/>
            </w:pPr>
            <w:r>
              <w:t xml:space="preserve">Follow-up audit and verification of corrective actions implemented by the client. On-site visits to regional offices in Callao and Miraflores, Lima. Final sign-off and archiving of audit documentation per NIA-Peru standards.</w:t>
            </w:r>
          </w:p>
        </w:tc>
        <w:tc>
          <w:tcPr/>
          <w:p>
            <w:pPr>
              <w:pStyle w:val="Compact"/>
              <w:jc w:val="left"/>
            </w:pPr>
            <w:r>
              <w:t xml:space="preserve">32</w:t>
            </w:r>
          </w:p>
        </w:tc>
        <w:tc>
          <w:tcPr/>
          <w:p>
            <w:pPr>
              <w:pStyle w:val="Compact"/>
              <w:jc w:val="left"/>
            </w:pPr>
            <w:r>
              <w:t xml:space="preserve">S/ 320.00</w:t>
            </w:r>
          </w:p>
        </w:tc>
        <w:tc>
          <w:tcPr/>
          <w:p>
            <w:pPr>
              <w:pStyle w:val="Compact"/>
              <w:jc w:val="left"/>
            </w:pPr>
            <w:r>
              <w:t xml:space="preserve">S/ 10,240.00</w:t>
            </w:r>
          </w:p>
        </w:tc>
        <w:tc>
          <w:tcPr/>
          <w:p>
            <w:pPr>
              <w:pStyle w:val="Compact"/>
              <w:jc w:val="left"/>
            </w:pPr>
            <w:r>
              <w:t xml:space="preserve">Jun 09 – Jun 13,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(S/)</w:t>
            </w:r>
          </w:p>
        </w:tc>
        <w:tc>
          <w:tcPr/>
          <w:p>
            <w:pPr>
              <w:pStyle w:val="Compact"/>
              <w:jc w:val="right"/>
            </w:pPr>
            <w:r>
              <w:t xml:space="preserve">130,320.00</w:t>
            </w:r>
          </w:p>
        </w:tc>
      </w:tr>
      <w:tr>
        <w:tc>
          <w:tcPr/>
          <w:p>
            <w:pPr>
              <w:pStyle w:val="Compact"/>
              <w:jc w:val="left"/>
            </w:pPr>
            <w:r>
              <w:t xml:space="preserve">IGV (18%)</w:t>
            </w:r>
          </w:p>
        </w:tc>
        <w:tc>
          <w:tcPr/>
          <w:p>
            <w:pPr>
              <w:pStyle w:val="Compact"/>
              <w:jc w:val="right"/>
            </w:pPr>
            <w:r>
              <w:t xml:space="preserve">23,457.60</w:t>
            </w:r>
          </w:p>
        </w:tc>
      </w:tr>
      <w:tr>
        <w:tc>
          <w:tcPr/>
          <w:p>
            <w:pPr>
              <w:pStyle w:val="Compact"/>
              <w:jc w:val="left"/>
            </w:pPr>
            <w:r>
              <w:t xml:space="preserve">ISC (2%)</w:t>
            </w:r>
          </w:p>
        </w:tc>
        <w:tc>
          <w:tcPr/>
          <w:p>
            <w:pPr>
              <w:pStyle w:val="Compact"/>
              <w:jc w:val="right"/>
            </w:pPr>
            <w:r>
              <w:t xml:space="preserve">2,606.40</w:t>
            </w:r>
          </w:p>
        </w:tc>
      </w:tr>
      <w:tr>
        <w:tc>
          <w:tcPr/>
          <w:p>
            <w:pPr>
              <w:pStyle w:val="Compact"/>
              <w:jc w:val="left"/>
            </w:pPr>
            <w:r>
              <w:t xml:space="preserve">TOTAL (S/)</w:t>
            </w:r>
          </w:p>
        </w:tc>
        <w:tc>
          <w:tcPr/>
          <w:p>
            <w:pPr>
              <w:pStyle w:val="Compact"/>
              <w:jc w:val="right"/>
            </w:pPr>
            <w:r>
              <w:t xml:space="preserve">156,384.00</w:t>
            </w:r>
          </w:p>
        </w:tc>
      </w:tr>
    </w:tbl>
    <w:bookmarkStart w:id="25" w:name="terms-conditions-notes"/>
    <w:p>
      <w:pPr>
        <w:pStyle w:val="Heading3"/>
      </w:pPr>
      <w:r>
        <w:t xml:space="preserve">Terms, Conditions &amp; Notes</w:t>
      </w:r>
    </w:p>
    <w:p>
      <w:pPr>
        <w:pStyle w:val="FirstParagraph"/>
      </w:pPr>
      <w:r>
        <w:rPr>
          <w:bCs/>
          <w:b/>
        </w:rPr>
        <w:t xml:space="preserve">1.</w:t>
      </w:r>
      <w:r>
        <w:t xml:space="preserve"> </w:t>
      </w:r>
      <w:r>
        <w:t xml:space="preserve">This invoice is issued in accordance with the Peruvian Tax Code (Código Tributario) and the regulations of the Superintendencia Nacional de Aduanas y de Administración Tributaria (SUNAT), Lima, Peru. The invoice number and RUC are registered in the electronic invoicing system (Sistema de Facturación Electrónica).</w:t>
      </w:r>
    </w:p>
    <w:p>
      <w:pPr>
        <w:pStyle w:val="BodyText"/>
      </w:pPr>
      <w:r>
        <w:rPr>
          <w:bCs/>
          <w:b/>
        </w:rPr>
        <w:t xml:space="preserve">2.</w:t>
      </w:r>
      <w:r>
        <w:t xml:space="preserve"> </w:t>
      </w:r>
      <w:r>
        <w:t xml:space="preserve">Payment is due within thirty (30) calendar days from the issue date via bank transfer to the account specified above. Late payments shall accrue interest at the rate established by the Banco Central de Reserva del Perú (BCRP) for overdue obligations.</w:t>
      </w:r>
    </w:p>
    <w:p>
      <w:pPr>
        <w:pStyle w:val="BodyText"/>
      </w:pPr>
      <w:r>
        <w:rPr>
          <w:bCs/>
          <w:b/>
        </w:rPr>
        <w:t xml:space="preserve">3.</w:t>
      </w:r>
      <w:r>
        <w:t xml:space="preserve"> </w:t>
      </w:r>
      <w:r>
        <w:t xml:space="preserve">All audit services described herein were performed in strict compliance with the International Standards on Auditing (ISA) as adopted by the Colegio de Contadores Públicos de Lima, and in accordance with the Peruvian Norms of Financial Reporting (NIF) issued by the Consejo Normativo de Contabilidad.</w:t>
      </w:r>
    </w:p>
    <w:p>
      <w:pPr>
        <w:pStyle w:val="BodyText"/>
      </w:pPr>
      <w:r>
        <w:rPr>
          <w:bCs/>
          <w:b/>
        </w:rPr>
        <w:t xml:space="preserve">4.</w:t>
      </w:r>
      <w:r>
        <w:t xml:space="preserve"> </w:t>
      </w:r>
      <w:r>
        <w:t xml:space="preserve">The Auditor, Andina Audit &amp; Advisory S.A.C., declares independence from the audited entity in accordance with the Code of Ethics for Professional Accountants. No non-audit services that would impair independence were provided during the engagement period.</w:t>
      </w:r>
    </w:p>
    <w:p>
      <w:pPr>
        <w:pStyle w:val="BodyText"/>
      </w:pPr>
      <w:r>
        <w:rPr>
          <w:bCs/>
          <w:b/>
        </w:rPr>
        <w:t xml:space="preserve">5.</w:t>
      </w:r>
      <w:r>
        <w:t xml:space="preserve"> </w:t>
      </w:r>
      <w:r>
        <w:t xml:space="preserve">This invoice constitutes a legal document for tax purposes in the Republic of Peru. The client is entitled to request a duplicate copy from the billing department located in San Isidro, Lima, within ninety (90) days of issuance.</w:t>
      </w:r>
    </w:p>
    <w:p>
      <w:pPr>
        <w:pStyle w:val="BodyText"/>
      </w:pPr>
      <w:r>
        <w:rPr>
          <w:bCs/>
          <w:b/>
        </w:rPr>
        <w:t xml:space="preserve">6.</w:t>
      </w:r>
      <w:r>
        <w:t xml:space="preserve"> </w:t>
      </w:r>
      <w:r>
        <w:t xml:space="preserve">All work product, including the auditor's report, working papers, and management letters, shall be delivered in both physical and electronic format to the designated recipient at the Ministry's headquarters in Lima. Confidentiality obligations survive for a period of five (5) years following the completion of the audit engagement.</w:t>
      </w:r>
    </w:p>
    <w:p>
      <w:pPr>
        <w:pStyle w:val="BodyText"/>
      </w:pPr>
      <w:r>
        <w:rPr>
          <w:bCs/>
          <w:b/>
        </w:rPr>
        <w:t xml:space="preserve">7.</w:t>
      </w:r>
      <w:r>
        <w:t xml:space="preserve"> </w:t>
      </w:r>
      <w:r>
        <w:t xml:space="preserve">In the event of any dispute arising from this invoice or the underlying audit services, the parties agree to submit to the jurisdiction of the civil courts of Lima, Peru, in accordance with the applicable Peruvian Civil Code and Commercial Code.</w:t>
      </w:r>
    </w:p>
    <w:bookmarkEnd w:id="25"/>
    <w:p>
      <w:pPr>
        <w:pStyle w:val="BodyText"/>
      </w:pPr>
      <w:r>
        <w:t xml:space="preserve">Andina Audit &amp; Advisory S.A.C. | RUC 20601234567 | Av. Javier Prado Este 1250, San Isidro, Lima 15081, Peru</w:t>
      </w:r>
    </w:p>
    <w:p>
      <w:pPr>
        <w:pStyle w:val="BodyText"/>
      </w:pPr>
      <w:r>
        <w:t xml:space="preserve">This document was generated electronically and is valid without a physical signature per SUNAT Resolution No. 200-2023-EF/1910.</w:t>
      </w:r>
    </w:p>
    <w:p>
      <w:pPr>
        <w:pStyle w:val="BodyText"/>
      </w:pPr>
      <w:r>
        <w:t xml:space="preserve">Thank you for your business. We appreciate the opportunity to serve as your independent auditor in Lima, Peru.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Audit Services - Lima, Peru</dc:title>
  <dc:creator/>
  <dc:language>en</dc:language>
  <cp:keywords/>
  <dcterms:created xsi:type="dcterms:W3CDTF">2026-10-10T03:36:54Z</dcterms:created>
  <dcterms:modified xsi:type="dcterms:W3CDTF">2026-10-10T03:36:54Z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