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Auditor</w:t>
      </w:r>
      <w:r>
        <w:t xml:space="preserve"> </w:t>
      </w:r>
      <w:r>
        <w:t xml:space="preserve">Services</w:t>
      </w:r>
      <w:r>
        <w:t xml:space="preserve"> </w:t>
      </w:r>
      <w:r>
        <w:t xml:space="preserve">-</w:t>
      </w:r>
      <w:r>
        <w:t xml:space="preserve"> </w:t>
      </w:r>
      <w:r>
        <w:t xml:space="preserve">Russia</w:t>
      </w:r>
      <w:r>
        <w:t xml:space="preserve"> </w:t>
      </w:r>
      <w:r>
        <w:t xml:space="preserve">Moscow</w:t>
      </w:r>
    </w:p>
    <w:bookmarkStart w:id="20" w:name="meridian-audit-advisory-group"/>
    <w:p>
      <w:pPr>
        <w:pStyle w:val="Heading1"/>
      </w:pPr>
      <w:r>
        <w:t xml:space="preserve">Meridian Audit &amp; Advisory Group</w:t>
      </w:r>
    </w:p>
    <w:p>
      <w:pPr>
        <w:pStyle w:val="FirstParagraph"/>
      </w:pPr>
      <w:r>
        <w:t xml:space="preserve">12 Tverskaya Street, Building 4, Floor 12</w:t>
      </w:r>
    </w:p>
    <w:p>
      <w:pPr>
        <w:pStyle w:val="BodyText"/>
      </w:pPr>
      <w:r>
        <w:t xml:space="preserve">Moscow, Russia Moscow 125009</w:t>
      </w:r>
    </w:p>
    <w:p>
      <w:pPr>
        <w:pStyle w:val="BodyText"/>
      </w:pPr>
      <w:r>
        <w:t xml:space="preserve">Tax ID (INN): 7701234567</w:t>
      </w:r>
    </w:p>
    <w:p>
      <w:pPr>
        <w:pStyle w:val="BodyText"/>
      </w:pPr>
      <w:r>
        <w:t xml:space="preserve">Registration No. (OGRN): 1157746000000</w:t>
      </w:r>
    </w:p>
    <w:p>
      <w:pPr>
        <w:pStyle w:val="BodyText"/>
      </w:pPr>
      <w:r>
        <w:t xml:space="preserve">Phone: +7 (495) 123-4567</w:t>
      </w:r>
    </w:p>
    <w:p>
      <w:pPr>
        <w:pStyle w:val="BodyText"/>
      </w:pPr>
      <w:r>
        <w:t xml:space="preserve">Email: billing@meridian-audit.ru</w:t>
      </w:r>
    </w:p>
    <w:bookmarkEnd w:id="20"/>
    <w:bookmarkStart w:id="21" w:name="invoice"/>
    <w:p>
      <w:pPr>
        <w:pStyle w:val="Heading2"/>
      </w:pPr>
      <w:r>
        <w:t xml:space="preserve">INVOICE</w:t>
      </w:r>
    </w:p>
    <w:p>
      <w:pPr>
        <w:pStyle w:val="FirstParagraph"/>
      </w:pPr>
      <w:r>
        <w:t xml:space="preserve">Invoice No.: MA-2025-0847</w:t>
      </w:r>
    </w:p>
    <w:p>
      <w:pPr>
        <w:pStyle w:val="BodyText"/>
      </w:pPr>
      <w:r>
        <w:t xml:space="preserve">Date of Issue: 15 June 2025</w:t>
      </w:r>
    </w:p>
    <w:p>
      <w:pPr>
        <w:pStyle w:val="BodyText"/>
      </w:pPr>
      <w:r>
        <w:t xml:space="preserve">Due Date: 30 June 2025</w:t>
      </w:r>
    </w:p>
    <w:p>
      <w:pPr>
        <w:pStyle w:val="BodyText"/>
      </w:pPr>
      <w:r>
        <w:t xml:space="preserve">Service Period: 01 May 2025 – 31 May 2025</w:t>
      </w:r>
    </w:p>
    <w:bookmarkEnd w:id="21"/>
    <w:bookmarkStart w:id="22" w:name="billed-to-client"/>
    <w:p>
      <w:pPr>
        <w:pStyle w:val="Heading3"/>
      </w:pPr>
      <w:r>
        <w:t xml:space="preserve">Billed To (Client)</w:t>
      </w:r>
    </w:p>
    <w:p>
      <w:pPr>
        <w:pStyle w:val="FirstParagraph"/>
      </w:pPr>
      <w:r>
        <w:rPr>
          <w:bCs/>
          <w:b/>
        </w:rPr>
        <w:t xml:space="preserve">Volga Industrial Holdings LLC</w:t>
      </w:r>
    </w:p>
    <w:p>
      <w:pPr>
        <w:pStyle w:val="BodyText"/>
      </w:pPr>
      <w:r>
        <w:t xml:space="preserve">45 Leningradsky Prospekt, Office 702</w:t>
      </w:r>
    </w:p>
    <w:p>
      <w:pPr>
        <w:pStyle w:val="BodyText"/>
      </w:pPr>
      <w:r>
        <w:t xml:space="preserve">Moscow, Russia Moscow 125167</w:t>
      </w:r>
    </w:p>
    <w:p>
      <w:pPr>
        <w:pStyle w:val="BodyText"/>
      </w:pPr>
      <w:r>
        <w:t xml:space="preserve">Tax ID (INN): 7709876543</w:t>
      </w:r>
    </w:p>
    <w:p>
      <w:pPr>
        <w:pStyle w:val="BodyText"/>
      </w:pPr>
      <w:r>
        <w:t xml:space="preserve">Attn: Mr. Dmitry Sokolov, Chief Financial Officer</w:t>
      </w:r>
    </w:p>
    <w:p>
      <w:pPr>
        <w:pStyle w:val="BodyText"/>
      </w:pPr>
      <w:r>
        <w:t xml:space="preserve">Email: d.sokolov@volga-industrial.ru</w:t>
      </w:r>
    </w:p>
    <w:bookmarkEnd w:id="22"/>
    <w:bookmarkStart w:id="23" w:name="invoice-reference"/>
    <w:p>
      <w:pPr>
        <w:pStyle w:val="Heading3"/>
      </w:pPr>
      <w:r>
        <w:t xml:space="preserve">Invoice Reference</w:t>
      </w:r>
    </w:p>
    <w:p>
      <w:pPr>
        <w:pStyle w:val="FirstParagraph"/>
      </w:pPr>
      <w:r>
        <w:t xml:space="preserve">Contract No.: VIH-MA-2025-012</w:t>
      </w:r>
    </w:p>
    <w:p>
      <w:pPr>
        <w:pStyle w:val="BodyText"/>
      </w:pPr>
      <w:r>
        <w:t xml:space="preserve">PO Number: PO-2025-03341</w:t>
      </w:r>
    </w:p>
    <w:p>
      <w:pPr>
        <w:pStyle w:val="BodyText"/>
      </w:pPr>
      <w:r>
        <w:t xml:space="preserve">Engagement Type: Annual Financial Audit</w:t>
      </w:r>
    </w:p>
    <w:p>
      <w:pPr>
        <w:pStyle w:val="BodyText"/>
      </w:pPr>
      <w:r>
        <w:t xml:space="preserve">Lead Auditor: Elena V. Petrova, CPA (Russia)</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Auditor Services</w:t>
            </w:r>
          </w:p>
        </w:tc>
        <w:tc>
          <w:tcPr/>
          <w:p>
            <w:pPr>
              <w:pStyle w:val="Compact"/>
              <w:jc w:val="left"/>
            </w:pPr>
            <w:r>
              <w:t xml:space="preserve">Service Period</w:t>
            </w:r>
          </w:p>
        </w:tc>
        <w:tc>
          <w:tcPr/>
          <w:p>
            <w:pPr>
              <w:pStyle w:val="Compact"/>
              <w:jc w:val="left"/>
            </w:pPr>
            <w:r>
              <w:t xml:space="preserve">Hours</w:t>
            </w:r>
          </w:p>
        </w:tc>
        <w:tc>
          <w:tcPr/>
          <w:p>
            <w:pPr>
              <w:pStyle w:val="Compact"/>
              <w:jc w:val="left"/>
            </w:pPr>
            <w:r>
              <w:t xml:space="preserve">Rate (RUB)</w:t>
            </w:r>
          </w:p>
        </w:tc>
        <w:tc>
          <w:tcPr/>
          <w:p>
            <w:pPr>
              <w:pStyle w:val="Compact"/>
              <w:jc w:val="left"/>
            </w:pPr>
            <w:r>
              <w:t xml:space="preserve">Amount (RUB)</w:t>
            </w:r>
          </w:p>
        </w:tc>
      </w:tr>
      <w:tr>
        <w:tc>
          <w:tcPr/>
          <w:p>
            <w:pPr>
              <w:pStyle w:val="Compact"/>
              <w:jc w:val="left"/>
            </w:pPr>
            <w:r>
              <w:t xml:space="preserve">1</w:t>
            </w:r>
          </w:p>
        </w:tc>
        <w:tc>
          <w:tcPr/>
          <w:p>
            <w:pPr>
              <w:pStyle w:val="Compact"/>
              <w:jc w:val="left"/>
            </w:pPr>
            <w:r>
              <w:t xml:space="preserve">Comprehensive financial statement audit conducted by the lead Auditor in accordance with Russian Federal Accounting Standards (RAS) and International Standards on Auditing (ISA) as adopted in Russia Moscow jurisdiction.</w:t>
            </w:r>
          </w:p>
        </w:tc>
        <w:tc>
          <w:tcPr/>
          <w:p>
            <w:pPr>
              <w:pStyle w:val="Compact"/>
              <w:jc w:val="left"/>
            </w:pPr>
            <w:r>
              <w:t xml:space="preserve">01–10 May 2025</w:t>
            </w:r>
          </w:p>
        </w:tc>
        <w:tc>
          <w:tcPr/>
          <w:p>
            <w:pPr>
              <w:pStyle w:val="Compact"/>
              <w:jc w:val="left"/>
            </w:pPr>
            <w:r>
              <w:t xml:space="preserve">120</w:t>
            </w:r>
          </w:p>
        </w:tc>
        <w:tc>
          <w:tcPr/>
          <w:p>
            <w:pPr>
              <w:pStyle w:val="Compact"/>
              <w:jc w:val="left"/>
            </w:pPr>
            <w:r>
              <w:t xml:space="preserve">4,500</w:t>
            </w:r>
          </w:p>
        </w:tc>
        <w:tc>
          <w:tcPr/>
          <w:p>
            <w:pPr>
              <w:pStyle w:val="Compact"/>
              <w:jc w:val="left"/>
            </w:pPr>
            <w:r>
              <w:t xml:space="preserve">540,000.00</w:t>
            </w:r>
          </w:p>
        </w:tc>
      </w:tr>
      <w:tr>
        <w:tc>
          <w:tcPr/>
          <w:p>
            <w:pPr>
              <w:pStyle w:val="Compact"/>
              <w:jc w:val="left"/>
            </w:pPr>
            <w:r>
              <w:t xml:space="preserve">2</w:t>
            </w:r>
          </w:p>
        </w:tc>
        <w:tc>
          <w:tcPr/>
          <w:p>
            <w:pPr>
              <w:pStyle w:val="Compact"/>
              <w:jc w:val="left"/>
            </w:pPr>
            <w:r>
              <w:t xml:space="preserve">Internal control assessment and risk evaluation performed by the Auditor team across all operational divisions of the client entity registered in Russia Moscow.</w:t>
            </w:r>
          </w:p>
        </w:tc>
        <w:tc>
          <w:tcPr/>
          <w:p>
            <w:pPr>
              <w:pStyle w:val="Compact"/>
              <w:jc w:val="left"/>
            </w:pPr>
            <w:r>
              <w:t xml:space="preserve">11–18 May 2025</w:t>
            </w:r>
          </w:p>
        </w:tc>
        <w:tc>
          <w:tcPr/>
          <w:p>
            <w:pPr>
              <w:pStyle w:val="Compact"/>
              <w:jc w:val="left"/>
            </w:pPr>
            <w:r>
              <w:t xml:space="preserve">80</w:t>
            </w:r>
          </w:p>
        </w:tc>
        <w:tc>
          <w:tcPr/>
          <w:p>
            <w:pPr>
              <w:pStyle w:val="Compact"/>
              <w:jc w:val="left"/>
            </w:pPr>
            <w:r>
              <w:t xml:space="preserve">4,200</w:t>
            </w:r>
          </w:p>
        </w:tc>
        <w:tc>
          <w:tcPr/>
          <w:p>
            <w:pPr>
              <w:pStyle w:val="Compact"/>
              <w:jc w:val="left"/>
            </w:pPr>
            <w:r>
              <w:t xml:space="preserve">336,000.00</w:t>
            </w:r>
          </w:p>
        </w:tc>
      </w:tr>
      <w:tr>
        <w:tc>
          <w:tcPr/>
          <w:p>
            <w:pPr>
              <w:pStyle w:val="Compact"/>
              <w:jc w:val="left"/>
            </w:pPr>
            <w:r>
              <w:t xml:space="preserve">3</w:t>
            </w:r>
          </w:p>
        </w:tc>
        <w:tc>
          <w:tcPr/>
          <w:p>
            <w:pPr>
              <w:pStyle w:val="Compact"/>
              <w:jc w:val="left"/>
            </w:pPr>
            <w:r>
              <w:t xml:space="preserve">Tax compliance review and VAT reconciliation audit. The Auditor verified all tax filings submitted to the Federal Tax Service of Russia Moscow for the reporting period.</w:t>
            </w:r>
          </w:p>
        </w:tc>
        <w:tc>
          <w:tcPr/>
          <w:p>
            <w:pPr>
              <w:pStyle w:val="Compact"/>
              <w:jc w:val="left"/>
            </w:pPr>
            <w:r>
              <w:t xml:space="preserve">19–24 May 2025</w:t>
            </w:r>
          </w:p>
        </w:tc>
        <w:tc>
          <w:tcPr/>
          <w:p>
            <w:pPr>
              <w:pStyle w:val="Compact"/>
              <w:jc w:val="left"/>
            </w:pPr>
            <w:r>
              <w:t xml:space="preserve">60</w:t>
            </w:r>
          </w:p>
        </w:tc>
        <w:tc>
          <w:tcPr/>
          <w:p>
            <w:pPr>
              <w:pStyle w:val="Compact"/>
              <w:jc w:val="left"/>
            </w:pPr>
            <w:r>
              <w:t xml:space="preserve">4,500</w:t>
            </w:r>
          </w:p>
        </w:tc>
        <w:tc>
          <w:tcPr/>
          <w:p>
            <w:pPr>
              <w:pStyle w:val="Compact"/>
              <w:jc w:val="left"/>
            </w:pPr>
            <w:r>
              <w:t xml:space="preserve">270,000.00</w:t>
            </w:r>
          </w:p>
        </w:tc>
      </w:tr>
      <w:tr>
        <w:tc>
          <w:tcPr/>
          <w:p>
            <w:pPr>
              <w:pStyle w:val="Compact"/>
              <w:jc w:val="left"/>
            </w:pPr>
            <w:r>
              <w:t xml:space="preserve">4</w:t>
            </w:r>
          </w:p>
        </w:tc>
        <w:tc>
          <w:tcPr/>
          <w:p>
            <w:pPr>
              <w:pStyle w:val="Compact"/>
              <w:jc w:val="left"/>
            </w:pPr>
            <w:r>
              <w:t xml:space="preserve">Preparation and issuance of the formal Auditor's opinion letter, including management letter with recommendations for financial governance improvements in the Russia Moscow market context.</w:t>
            </w:r>
          </w:p>
        </w:tc>
        <w:tc>
          <w:tcPr/>
          <w:p>
            <w:pPr>
              <w:pStyle w:val="Compact"/>
              <w:jc w:val="left"/>
            </w:pPr>
            <w:r>
              <w:t xml:space="preserve">25–28 May 2025</w:t>
            </w:r>
          </w:p>
        </w:tc>
        <w:tc>
          <w:tcPr/>
          <w:p>
            <w:pPr>
              <w:pStyle w:val="Compact"/>
              <w:jc w:val="left"/>
            </w:pPr>
            <w:r>
              <w:t xml:space="preserve">40</w:t>
            </w:r>
          </w:p>
        </w:tc>
        <w:tc>
          <w:tcPr/>
          <w:p>
            <w:pPr>
              <w:pStyle w:val="Compact"/>
              <w:jc w:val="left"/>
            </w:pPr>
            <w:r>
              <w:t xml:space="preserve">5,000</w:t>
            </w:r>
          </w:p>
        </w:tc>
        <w:tc>
          <w:tcPr/>
          <w:p>
            <w:pPr>
              <w:pStyle w:val="Compact"/>
              <w:jc w:val="left"/>
            </w:pPr>
            <w:r>
              <w:t xml:space="preserve">200,000.00</w:t>
            </w:r>
          </w:p>
        </w:tc>
      </w:tr>
      <w:tr>
        <w:tc>
          <w:tcPr/>
          <w:p>
            <w:pPr>
              <w:pStyle w:val="Compact"/>
              <w:jc w:val="left"/>
            </w:pPr>
            <w:r>
              <w:t xml:space="preserve">5</w:t>
            </w:r>
          </w:p>
        </w:tc>
        <w:tc>
          <w:tcPr/>
          <w:p>
            <w:pPr>
              <w:pStyle w:val="Compact"/>
              <w:jc w:val="left"/>
            </w:pPr>
            <w:r>
              <w:t xml:space="preserve">On-site inspection of physical assets, inventory verification, and cash count procedures executed by the Auditor at the client's primary warehouse facility in Russia Moscow.</w:t>
            </w:r>
          </w:p>
        </w:tc>
        <w:tc>
          <w:tcPr/>
          <w:p>
            <w:pPr>
              <w:pStyle w:val="Compact"/>
              <w:jc w:val="left"/>
            </w:pPr>
            <w:r>
              <w:t xml:space="preserve">29–31 May 2025</w:t>
            </w:r>
          </w:p>
        </w:tc>
        <w:tc>
          <w:tcPr/>
          <w:p>
            <w:pPr>
              <w:pStyle w:val="Compact"/>
              <w:jc w:val="left"/>
            </w:pPr>
            <w:r>
              <w:t xml:space="preserve">30</w:t>
            </w:r>
          </w:p>
        </w:tc>
        <w:tc>
          <w:tcPr/>
          <w:p>
            <w:pPr>
              <w:pStyle w:val="Compact"/>
              <w:jc w:val="left"/>
            </w:pPr>
            <w:r>
              <w:t xml:space="preserve">4,000</w:t>
            </w:r>
          </w:p>
        </w:tc>
        <w:tc>
          <w:tcPr/>
          <w:p>
            <w:pPr>
              <w:pStyle w:val="Compact"/>
              <w:jc w:val="left"/>
            </w:pPr>
            <w:r>
              <w:t xml:space="preserve">120,000.00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(RUB)</w:t>
            </w:r>
          </w:p>
        </w:tc>
        <w:tc>
          <w:tcPr/>
          <w:p>
            <w:pPr>
              <w:pStyle w:val="Compact"/>
              <w:jc w:val="right"/>
            </w:pPr>
            <w:r>
              <w:t xml:space="preserve">1,466,000.00</w:t>
            </w:r>
          </w:p>
        </w:tc>
      </w:tr>
      <w:tr>
        <w:tc>
          <w:tcPr/>
          <w:p>
            <w:pPr>
              <w:pStyle w:val="Compact"/>
              <w:jc w:val="left"/>
            </w:pPr>
            <w:r>
              <w:t xml:space="preserve">VAT 20% (RUB)</w:t>
            </w:r>
          </w:p>
        </w:tc>
        <w:tc>
          <w:tcPr/>
          <w:p>
            <w:pPr>
              <w:pStyle w:val="Compact"/>
              <w:jc w:val="right"/>
            </w:pPr>
            <w:r>
              <w:t xml:space="preserve">293,200.00</w:t>
            </w:r>
          </w:p>
        </w:tc>
      </w:tr>
      <w:tr>
        <w:tc>
          <w:tcPr/>
          <w:p>
            <w:pPr>
              <w:pStyle w:val="Compact"/>
              <w:jc w:val="left"/>
            </w:pPr>
            <w:r>
              <w:t xml:space="preserve">Travel &amp; Accommodation Surcharge (RUB)</w:t>
            </w:r>
          </w:p>
        </w:tc>
        <w:tc>
          <w:tcPr/>
          <w:p>
            <w:pPr>
              <w:pStyle w:val="Compact"/>
              <w:jc w:val="right"/>
            </w:pPr>
            <w:r>
              <w:t xml:space="preserve">18,500.00</w:t>
            </w:r>
          </w:p>
        </w:tc>
      </w:tr>
      <w:tr>
        <w:tc>
          <w:tcPr/>
          <w:p>
            <w:pPr>
              <w:pStyle w:val="Compact"/>
              <w:jc w:val="left"/>
            </w:pPr>
            <w:r>
              <w:t xml:space="preserve">TOTAL AMOUNT DUE (RUB)</w:t>
            </w:r>
          </w:p>
        </w:tc>
        <w:tc>
          <w:tcPr/>
          <w:p>
            <w:pPr>
              <w:pStyle w:val="Compact"/>
              <w:jc w:val="right"/>
            </w:pPr>
            <w:r>
              <w:t xml:space="preserve">1,777,700.00</w:t>
            </w:r>
          </w:p>
        </w:tc>
      </w:tr>
      <w:tr>
        <w:tc>
          <w:tcPr>
            <w:gridSpan w:val="2"/>
          </w:tcPr>
          <w:p>
            <w:pPr>
              <w:pStyle w:val="Compact"/>
              <w:jc w:val="left"/>
            </w:pPr>
            <w:r>
              <w:t xml:space="preserve">Amount in words: One Million Seven Hundred Seventy-Seven Thousand Seven Hundred Rubles 00 Kopecks</w:t>
            </w:r>
          </w:p>
        </w:tc>
      </w:tr>
    </w:tbl>
    <w:bookmarkStart w:id="24" w:name="payment-terms-instructions"/>
    <w:p>
      <w:pPr>
        <w:pStyle w:val="Heading3"/>
      </w:pPr>
      <w:r>
        <w:t xml:space="preserve">Payment Terms &amp; Instructions</w:t>
      </w:r>
    </w:p>
    <w:p>
      <w:pPr>
        <w:pStyle w:val="FirstParagraph"/>
      </w:pPr>
      <w:r>
        <w:t xml:space="preserve">This Invoice must be settled in full within fifteen (15) calendar days from the date of issue, no later than 30 June 2025. Payment is to be made in Russian Rubles (RUB) via bank transfer to the following account:</w:t>
      </w:r>
    </w:p>
    <w:p>
      <w:pPr>
        <w:numPr>
          <w:ilvl w:val="0"/>
          <w:numId w:val="1001"/>
        </w:numPr>
        <w:pStyle w:val="Compact"/>
      </w:pPr>
      <w:r>
        <w:rPr>
          <w:bCs/>
          <w:b/>
        </w:rPr>
        <w:t xml:space="preserve">Bank:</w:t>
      </w:r>
      <w:r>
        <w:t xml:space="preserve"> </w:t>
      </w:r>
      <w:r>
        <w:t xml:space="preserve">Sberbank, Moscow Branch, Russia Moscow</w:t>
      </w:r>
    </w:p>
    <w:p>
      <w:pPr>
        <w:numPr>
          <w:ilvl w:val="0"/>
          <w:numId w:val="1001"/>
        </w:numPr>
        <w:pStyle w:val="Compact"/>
      </w:pPr>
      <w:r>
        <w:rPr>
          <w:bCs/>
          <w:b/>
        </w:rPr>
        <w:t xml:space="preserve">Account No.:</w:t>
      </w:r>
      <w:r>
        <w:t xml:space="preserve"> </w:t>
      </w:r>
      <w:r>
        <w:t xml:space="preserve">40702810400000012345</w:t>
      </w:r>
    </w:p>
    <w:p>
      <w:pPr>
        <w:numPr>
          <w:ilvl w:val="0"/>
          <w:numId w:val="1001"/>
        </w:numPr>
        <w:pStyle w:val="Compact"/>
      </w:pPr>
      <w:r>
        <w:rPr>
          <w:bCs/>
          <w:b/>
        </w:rPr>
        <w:t xml:space="preserve">BIC/SWIFT:</w:t>
      </w:r>
      <w:r>
        <w:t xml:space="preserve"> </w:t>
      </w:r>
      <w:r>
        <w:t xml:space="preserve">SABRRUMM</w:t>
      </w:r>
    </w:p>
    <w:p>
      <w:pPr>
        <w:numPr>
          <w:ilvl w:val="0"/>
          <w:numId w:val="1001"/>
        </w:numPr>
        <w:pStyle w:val="Compact"/>
      </w:pPr>
      <w:r>
        <w:rPr>
          <w:bCs/>
          <w:b/>
        </w:rPr>
        <w:t xml:space="preserve">Correspondent Account:</w:t>
      </w:r>
      <w:r>
        <w:t xml:space="preserve"> </w:t>
      </w:r>
      <w:r>
        <w:t xml:space="preserve">30101810400000000225</w:t>
      </w:r>
    </w:p>
    <w:p>
      <w:pPr>
        <w:numPr>
          <w:ilvl w:val="0"/>
          <w:numId w:val="1001"/>
        </w:numPr>
        <w:pStyle w:val="Compact"/>
      </w:pPr>
      <w:r>
        <w:rPr>
          <w:bCs/>
          <w:b/>
        </w:rPr>
        <w:t xml:space="preserve">Reference:</w:t>
      </w:r>
      <w:r>
        <w:t xml:space="preserve"> </w:t>
      </w:r>
      <w:r>
        <w:t xml:space="preserve">Invoice No. MA-2025-0847</w:t>
      </w:r>
    </w:p>
    <w:p>
      <w:pPr>
        <w:pStyle w:val="FirstParagraph"/>
      </w:pPr>
      <w:r>
        <w:t xml:space="preserve">A late payment penalty of 0.1% per calendar day shall apply to any outstanding balance beyond the due date, in accordance with the terms stipulated in the Auditor engagement contract. This Invoice is non-negotiable and non-transferable. All amounts are subject to applicable Russian federal and Moscow municipal tax regulations.</w:t>
      </w:r>
    </w:p>
    <w:bookmarkEnd w:id="24"/>
    <w:bookmarkStart w:id="25" w:name="additional-notes-auditors-declaration"/>
    <w:p>
      <w:pPr>
        <w:pStyle w:val="Heading3"/>
      </w:pPr>
      <w:r>
        <w:t xml:space="preserve">Additional Notes &amp; Auditor's Declaration</w:t>
      </w:r>
    </w:p>
    <w:p>
      <w:pPr>
        <w:pStyle w:val="FirstParagraph"/>
      </w:pPr>
      <w:r>
        <w:t xml:space="preserve">The undersigned Auditor, Elena V. Petrova (License No. АУД-77-004521, issued by the Moscow Chamber of Auditors, Russia Moscow), hereby certifies that all services described in this Invoice were performed in full compliance with the Federal Law No. 307-FZ "On Auditing Activities in the Russian Federation" and the professional standards established by the Russian Audit Chamber.</w:t>
      </w:r>
    </w:p>
    <w:p>
      <w:pPr>
        <w:pStyle w:val="BodyText"/>
      </w:pPr>
      <w:r>
        <w:t xml:space="preserve">The Auditor confirms that the engagement was conducted with full independence, objectivity, and professional skepticism. No conflicts of interest were identified during the audit period. The Auditor's opinion letter, which constitutes the primary deliverable referenced in this Invoice, has been delivered to the client's Board of Directors on 31 May 2025.</w:t>
      </w:r>
    </w:p>
    <w:p>
      <w:pPr>
        <w:pStyle w:val="BodyText"/>
      </w:pPr>
      <w:r>
        <w:t xml:space="preserve">This Invoice is issued in accordance with the terms of Contract No. VIH-MA-2025-012, executed on 15 April 2025 in Russia Moscow. Any disputes arising from this Invoice shall be resolved through arbitration at the Moscow Arbitration Court in accordance with Russian civil procedure law. The Auditor reserves the right to issue a supplementary Invoice should additional procedures be required by regulatory authorities in Russia Moscow.</w:t>
      </w:r>
    </w:p>
    <w:p>
      <w:pPr>
        <w:pStyle w:val="BodyText"/>
      </w:pPr>
      <w:r>
        <w:t xml:space="preserve">Client acknowledgment of this Invoice constitutes acceptance of the services rendered and agreement to the payment terms outlined herein. Retention of this Invoice document is mandatory for the client's tax records for a minimum period of five (5) years as required by the Russian Tax Code.</w:t>
      </w:r>
    </w:p>
    <w:bookmarkEnd w:id="25"/>
    <w:p>
      <w:pPr>
        <w:pStyle w:val="BodyText"/>
      </w:pPr>
      <w:r>
        <w:rPr>
          <w:bCs/>
          <w:b/>
        </w:rPr>
        <w:t xml:space="preserve">Elena V. Petrova</w:t>
      </w:r>
      <w:r>
        <w:br/>
      </w:r>
      <w:r>
        <w:t xml:space="preserve">Lead Auditor, CPA (Russia)</w:t>
      </w:r>
      <w:r>
        <w:br/>
      </w:r>
      <w:r>
        <w:t xml:space="preserve">Meridian Audit &amp; Advisory Group</w:t>
      </w:r>
      <w:r>
        <w:br/>
      </w:r>
      <w:r>
        <w:t xml:space="preserve">Date: 15 June 2025</w:t>
      </w:r>
    </w:p>
    <w:p>
      <w:pPr>
        <w:pStyle w:val="BodyText"/>
      </w:pPr>
      <w:r>
        <w:rPr>
          <w:bCs/>
          <w:b/>
        </w:rPr>
        <w:t xml:space="preserve">Client Acknowledgment</w:t>
      </w:r>
      <w:r>
        <w:br/>
      </w:r>
      <w:r>
        <w:t xml:space="preserve">Volga Industrial Holdings LLC</w:t>
      </w:r>
      <w:r>
        <w:br/>
      </w:r>
      <w:r>
        <w:t xml:space="preserve">Authorized Signatory</w:t>
      </w:r>
      <w:r>
        <w:br/>
      </w:r>
      <w:r>
        <w:t xml:space="preserve">Date: _______________</w:t>
      </w:r>
    </w:p>
    <w:p>
      <w:pPr>
        <w:pStyle w:val="BodyText"/>
      </w:pPr>
      <w:r>
        <w:t xml:space="preserve">Meridian Audit &amp; Advisory Group | 12 Tverskaya Street, Moscow, Russia Moscow 125009 | INN: 7701234567 | OGRN: 1157746000000</w:t>
      </w:r>
    </w:p>
    <w:p>
      <w:pPr>
        <w:pStyle w:val="BodyText"/>
      </w:pPr>
      <w:r>
        <w:t xml:space="preserve">This Invoice was generated electronically and is valid without a physical stamp in accordance with Federal Law No. 63-FZ "On Electronic Signature" (Russia Moscow jurisdiction).</w:t>
      </w:r>
    </w:p>
    <w:p>
      <w:pPr>
        <w:pStyle w:val="BodyText"/>
      </w:pPr>
      <w:r>
        <w:t xml:space="preserve">Document Reference: INV-MA-2025-0847-RU-MOW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Auditor Services - Russia Moscow</dc:title>
  <dc:creator/>
  <dc:language>en</dc:language>
  <cp:keywords/>
  <dcterms:created xsi:type="dcterms:W3CDTF">2026-10-10T04:06:33Z</dcterms:created>
  <dcterms:modified xsi:type="dcterms:W3CDTF">2026-10-10T04:06:33Z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