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northbridge-audit-advisory-group"/>
    <w:p>
      <w:pPr>
        <w:pStyle w:val="Heading1"/>
      </w:pPr>
      <w:r>
        <w:t xml:space="preserve">NorthBridge Audit &amp; Advisory Group</w:t>
      </w:r>
    </w:p>
    <w:p>
      <w:pPr>
        <w:pStyle w:val="FirstParagraph"/>
      </w:pPr>
      <w:r>
        <w:t xml:space="preserve">12 Nevsky Prospekt, Building 4, Floor 7</w:t>
      </w:r>
    </w:p>
    <w:p>
      <w:pPr>
        <w:pStyle w:val="BodyText"/>
      </w:pPr>
      <w:r>
        <w:t xml:space="preserve">Saint Petersburg, 191011, Russian Federation</w:t>
      </w:r>
    </w:p>
    <w:p>
      <w:pPr>
        <w:pStyle w:val="BodyText"/>
      </w:pPr>
      <w:r>
        <w:t xml:space="preserve">Taxpayer Identification Number (INN): 7805432198</w:t>
      </w:r>
    </w:p>
    <w:p>
      <w:pPr>
        <w:pStyle w:val="BodyText"/>
      </w:pPr>
      <w:r>
        <w:t xml:space="preserve">Registration Number (OGRN): 1157847098234</w:t>
      </w:r>
    </w:p>
    <w:p>
      <w:pPr>
        <w:pStyle w:val="BodyText"/>
      </w:pPr>
      <w:r>
        <w:t xml:space="preserve">Phone: +7 (812) 555-0147 | Email: billing@northbridge-audit.ru</w:t>
      </w:r>
    </w:p>
    <w:bookmarkEnd w:id="20"/>
    <w:bookmarkStart w:id="21" w:name="invoice"/>
    <w:p>
      <w:pPr>
        <w:pStyle w:val="Heading2"/>
      </w:pPr>
      <w:r>
        <w:t xml:space="preserve">INVOICE</w:t>
      </w:r>
    </w:p>
    <w:p>
      <w:pPr>
        <w:pStyle w:val="FirstParagraph"/>
      </w:pPr>
      <w:r>
        <w:t xml:space="preserve">Invoice No: NBA-2025-SPB-0472</w:t>
      </w:r>
    </w:p>
    <w:p>
      <w:pPr>
        <w:pStyle w:val="BodyText"/>
      </w:pPr>
      <w:r>
        <w:t xml:space="preserve">Date of Issue: 14 June 2025</w:t>
      </w:r>
    </w:p>
    <w:p>
      <w:pPr>
        <w:pStyle w:val="BodyText"/>
      </w:pPr>
      <w:r>
        <w:t xml:space="preserve">Due Date: 14 July 2025</w:t>
      </w:r>
    </w:p>
    <w:p>
      <w:pPr>
        <w:pStyle w:val="BodyText"/>
      </w:pPr>
      <w:r>
        <w:t xml:space="preserve">AUDITOR SERVICES</w:t>
      </w:r>
    </w:p>
    <w:bookmarkEnd w:id="21"/>
    <w:bookmarkStart w:id="22" w:name="bill-from-auditor"/>
    <w:p>
      <w:pPr>
        <w:pStyle w:val="Heading3"/>
      </w:pPr>
      <w:r>
        <w:t xml:space="preserve">Bill From (Auditor)</w:t>
      </w:r>
    </w:p>
    <w:p>
      <w:pPr>
        <w:pStyle w:val="FirstParagraph"/>
      </w:pPr>
      <w:r>
        <w:rPr>
          <w:bCs/>
          <w:b/>
        </w:rPr>
        <w:t xml:space="preserve">NorthBridge Audit &amp; Advisory Group</w:t>
      </w:r>
    </w:p>
    <w:p>
      <w:pPr>
        <w:pStyle w:val="BodyText"/>
      </w:pPr>
      <w:r>
        <w:t xml:space="preserve">12 Nevsky Prospekt, Bldg. 4, Fl. 7</w:t>
      </w:r>
    </w:p>
    <w:p>
      <w:pPr>
        <w:pStyle w:val="BodyText"/>
      </w:pPr>
      <w:r>
        <w:t xml:space="preserve">Saint Petersburg, 191011, Russia</w:t>
      </w:r>
    </w:p>
    <w:p>
      <w:pPr>
        <w:pStyle w:val="BodyText"/>
      </w:pPr>
      <w:r>
        <w:t xml:space="preserve">Lead Auditor: Dr. Elena V. Sokolova, CPA (Russia)</w:t>
      </w:r>
    </w:p>
    <w:p>
      <w:pPr>
        <w:pStyle w:val="BodyText"/>
      </w:pPr>
      <w:r>
        <w:t xml:space="preserve">Licence No: АУД-78-2019-00342</w:t>
      </w:r>
    </w:p>
    <w:bookmarkEnd w:id="22"/>
    <w:bookmarkStart w:id="23" w:name="bill-to-client"/>
    <w:p>
      <w:pPr>
        <w:pStyle w:val="Heading3"/>
      </w:pPr>
      <w:r>
        <w:t xml:space="preserve">Bill To (Client)</w:t>
      </w:r>
    </w:p>
    <w:p>
      <w:pPr>
        <w:pStyle w:val="FirstParagraph"/>
      </w:pPr>
      <w:r>
        <w:rPr>
          <w:bCs/>
          <w:b/>
        </w:rPr>
        <w:t xml:space="preserve">OOO "Baltic Trade Logistics"</w:t>
      </w:r>
    </w:p>
    <w:p>
      <w:pPr>
        <w:pStyle w:val="BodyText"/>
      </w:pPr>
      <w:r>
        <w:t xml:space="preserve">45 Liteyny Avenue, Office 210</w:t>
      </w:r>
    </w:p>
    <w:p>
      <w:pPr>
        <w:pStyle w:val="BodyText"/>
      </w:pPr>
      <w:r>
        <w:t xml:space="preserve">Saint Petersburg, 191024, Russia</w:t>
      </w:r>
    </w:p>
    <w:p>
      <w:pPr>
        <w:pStyle w:val="BodyText"/>
      </w:pPr>
      <w:r>
        <w:t xml:space="preserve">INN: 7811987654 | KPP: 781101001</w:t>
      </w:r>
    </w:p>
    <w:p>
      <w:pPr>
        <w:pStyle w:val="BodyText"/>
      </w:pPr>
      <w:r>
        <w:t xml:space="preserve">Attn: Mr. Dmitry A. Kuznetsov, CFO</w:t>
      </w:r>
    </w:p>
    <w:bookmarkEnd w:id="23"/>
    <w:p>
      <w:pPr>
        <w:pStyle w:val="BodyText"/>
      </w:pPr>
      <w:r>
        <w:t xml:space="preserve">Description of Auditor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Annual Financial Statement Audit in accordance with Russian Federal Accounting Standards (RAS) and International Standards on Auditing (ISA) as adopted in the Russian Federation</w:t>
            </w:r>
          </w:p>
        </w:tc>
        <w:tc>
          <w:tcPr/>
          <w:p>
            <w:pPr>
              <w:pStyle w:val="Compact"/>
              <w:jc w:val="left"/>
            </w:pPr>
            <w:r>
              <w:t xml:space="preserve">Jan – Dec 2024</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Internal Control Assessment and Risk-Based Audit Planning for the Saint Petersburg regional operations, including warehouse and distribution centre compliance review</w:t>
            </w:r>
          </w:p>
        </w:tc>
        <w:tc>
          <w:tcPr/>
          <w:p>
            <w:pPr>
              <w:pStyle w:val="Compact"/>
              <w:jc w:val="left"/>
            </w:pPr>
            <w:r>
              <w:t xml:space="preserve">Q1 2025</w:t>
            </w:r>
          </w:p>
        </w:tc>
        <w:tc>
          <w:tcPr/>
          <w:p>
            <w:pPr>
              <w:pStyle w:val="Compact"/>
              <w:jc w:val="left"/>
            </w:pPr>
            <w:r>
              <w:t xml:space="preserve">48</w:t>
            </w:r>
          </w:p>
        </w:tc>
        <w:tc>
          <w:tcPr/>
          <w:p>
            <w:pPr>
              <w:pStyle w:val="Compact"/>
              <w:jc w:val="left"/>
            </w:pPr>
            <w:r>
              <w:t xml:space="preserve">4,200</w:t>
            </w:r>
          </w:p>
        </w:tc>
        <w:tc>
          <w:tcPr/>
          <w:p>
            <w:pPr>
              <w:pStyle w:val="Compact"/>
              <w:jc w:val="left"/>
            </w:pPr>
            <w:r>
              <w:t xml:space="preserve">201,600.00</w:t>
            </w:r>
          </w:p>
        </w:tc>
      </w:tr>
      <w:tr>
        <w:tc>
          <w:tcPr/>
          <w:p>
            <w:pPr>
              <w:pStyle w:val="Compact"/>
              <w:jc w:val="left"/>
            </w:pPr>
            <w:r>
              <w:t xml:space="preserve">03</w:t>
            </w:r>
          </w:p>
        </w:tc>
        <w:tc>
          <w:tcPr/>
          <w:p>
            <w:pPr>
              <w:pStyle w:val="Compact"/>
              <w:jc w:val="left"/>
            </w:pPr>
            <w:r>
              <w:t xml:space="preserve">Tax Compliance Audit and Verification of VAT, Corporate Profit Tax, and Personal Income Tax filings submitted to the Federal Tax Service (FNS) of Saint Petersburg</w:t>
            </w:r>
          </w:p>
        </w:tc>
        <w:tc>
          <w:tcPr/>
          <w:p>
            <w:pPr>
              <w:pStyle w:val="Compact"/>
              <w:jc w:val="left"/>
            </w:pPr>
            <w:r>
              <w:t xml:space="preserve">Q1 – Q2 2025</w:t>
            </w:r>
          </w:p>
        </w:tc>
        <w:tc>
          <w:tcPr/>
          <w:p>
            <w:pPr>
              <w:pStyle w:val="Compact"/>
              <w:jc w:val="left"/>
            </w:pPr>
            <w:r>
              <w:t xml:space="preserve">36</w:t>
            </w:r>
          </w:p>
        </w:tc>
        <w:tc>
          <w:tcPr/>
          <w:p>
            <w:pPr>
              <w:pStyle w:val="Compact"/>
              <w:jc w:val="left"/>
            </w:pPr>
            <w:r>
              <w:t xml:space="preserve">4,800</w:t>
            </w:r>
          </w:p>
        </w:tc>
        <w:tc>
          <w:tcPr/>
          <w:p>
            <w:pPr>
              <w:pStyle w:val="Compact"/>
              <w:jc w:val="left"/>
            </w:pPr>
            <w:r>
              <w:t xml:space="preserve">172,800.00</w:t>
            </w:r>
          </w:p>
        </w:tc>
      </w:tr>
      <w:tr>
        <w:tc>
          <w:tcPr/>
          <w:p>
            <w:pPr>
              <w:pStyle w:val="Compact"/>
              <w:jc w:val="left"/>
            </w:pPr>
            <w:r>
              <w:t xml:space="preserve">04</w:t>
            </w:r>
          </w:p>
        </w:tc>
        <w:tc>
          <w:tcPr/>
          <w:p>
            <w:pPr>
              <w:pStyle w:val="Compact"/>
              <w:jc w:val="left"/>
            </w:pPr>
            <w:r>
              <w:t xml:space="preserve">Forensic Audit Support for suspected irregularities in vendor payment records; preparation of evidentiary documentation for potential referral to the Investigative Committee of the Russian Federation</w:t>
            </w:r>
          </w:p>
        </w:tc>
        <w:tc>
          <w:tcPr/>
          <w:p>
            <w:pPr>
              <w:pStyle w:val="Compact"/>
              <w:jc w:val="left"/>
            </w:pPr>
            <w:r>
              <w:t xml:space="preserve">May 2025</w:t>
            </w:r>
          </w:p>
        </w:tc>
        <w:tc>
          <w:tcPr/>
          <w:p>
            <w:pPr>
              <w:pStyle w:val="Compact"/>
              <w:jc w:val="left"/>
            </w:pPr>
            <w:r>
              <w:t xml:space="preserve">24</w:t>
            </w:r>
          </w:p>
        </w:tc>
        <w:tc>
          <w:tcPr/>
          <w:p>
            <w:pPr>
              <w:pStyle w:val="Compact"/>
              <w:jc w:val="left"/>
            </w:pPr>
            <w:r>
              <w:t xml:space="preserve">5,500</w:t>
            </w:r>
          </w:p>
        </w:tc>
        <w:tc>
          <w:tcPr/>
          <w:p>
            <w:pPr>
              <w:pStyle w:val="Compact"/>
              <w:jc w:val="left"/>
            </w:pPr>
            <w:r>
              <w:t xml:space="preserve">132,000.00</w:t>
            </w:r>
          </w:p>
        </w:tc>
      </w:tr>
      <w:tr>
        <w:tc>
          <w:tcPr/>
          <w:p>
            <w:pPr>
              <w:pStyle w:val="Compact"/>
              <w:jc w:val="left"/>
            </w:pPr>
            <w:r>
              <w:t xml:space="preserve">05</w:t>
            </w:r>
          </w:p>
        </w:tc>
        <w:tc>
          <w:tcPr/>
          <w:p>
            <w:pPr>
              <w:pStyle w:val="Compact"/>
              <w:jc w:val="left"/>
            </w:pPr>
            <w:r>
              <w:t xml:space="preserve">Preparation and Filing of the Auditor's Independent Opinion Report with the Central Bank of the Russian Federation and submission to the client's Board of Directors in Saint Petersburg</w:t>
            </w:r>
          </w:p>
        </w:tc>
        <w:tc>
          <w:tcPr/>
          <w:p>
            <w:pPr>
              <w:pStyle w:val="Compact"/>
              <w:jc w:val="left"/>
            </w:pPr>
            <w:r>
              <w:t xml:space="preserve">June 2025</w:t>
            </w:r>
          </w:p>
        </w:tc>
        <w:tc>
          <w:tcPr/>
          <w:p>
            <w:pPr>
              <w:pStyle w:val="Compact"/>
              <w:jc w:val="left"/>
            </w:pPr>
            <w:r>
              <w:t xml:space="preserve">16</w:t>
            </w:r>
          </w:p>
        </w:tc>
        <w:tc>
          <w:tcPr/>
          <w:p>
            <w:pPr>
              <w:pStyle w:val="Compact"/>
              <w:jc w:val="left"/>
            </w:pPr>
            <w:r>
              <w:t xml:space="preserve">4,500</w:t>
            </w:r>
          </w:p>
        </w:tc>
        <w:tc>
          <w:tcPr/>
          <w:p>
            <w:pPr>
              <w:pStyle w:val="Compact"/>
              <w:jc w:val="left"/>
            </w:pPr>
            <w:r>
              <w:t xml:space="preserve">72,000.00</w:t>
            </w:r>
          </w:p>
        </w:tc>
      </w:tr>
      <w:tr>
        <w:tc>
          <w:tcPr/>
          <w:p>
            <w:pPr>
              <w:pStyle w:val="Compact"/>
              <w:jc w:val="left"/>
            </w:pPr>
            <w:r>
              <w:t xml:space="preserve">06</w:t>
            </w:r>
          </w:p>
        </w:tc>
        <w:tc>
          <w:tcPr/>
          <w:p>
            <w:pPr>
              <w:pStyle w:val="Compact"/>
              <w:jc w:val="left"/>
            </w:pPr>
            <w:r>
              <w:t xml:space="preserve">Advisory Consultation on IFRS-to-RAS Reconciliation for the client's consolidated group reporting, conducted at the client's premises on Liteyny Avenue, Saint Petersburg</w:t>
            </w:r>
          </w:p>
        </w:tc>
        <w:tc>
          <w:tcPr/>
          <w:p>
            <w:pPr>
              <w:pStyle w:val="Compact"/>
              <w:jc w:val="left"/>
            </w:pPr>
            <w:r>
              <w:t xml:space="preserve">June 2025</w:t>
            </w:r>
          </w:p>
        </w:tc>
        <w:tc>
          <w:tcPr/>
          <w:p>
            <w:pPr>
              <w:pStyle w:val="Compact"/>
              <w:jc w:val="left"/>
            </w:pPr>
            <w:r>
              <w:t xml:space="preserve">12</w:t>
            </w:r>
          </w:p>
        </w:tc>
        <w:tc>
          <w:tcPr/>
          <w:p>
            <w:pPr>
              <w:pStyle w:val="Compact"/>
              <w:jc w:val="left"/>
            </w:pPr>
            <w:r>
              <w:t xml:space="preserve">5,000</w:t>
            </w:r>
          </w:p>
        </w:tc>
        <w:tc>
          <w:tcPr/>
          <w:p>
            <w:pPr>
              <w:pStyle w:val="Compact"/>
              <w:jc w:val="left"/>
            </w:pPr>
            <w:r>
              <w:t xml:space="preserve">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1,178,400.00 RUB</w:t>
            </w:r>
          </w:p>
        </w:tc>
      </w:tr>
      <w:tr>
        <w:tc>
          <w:tcPr/>
          <w:p>
            <w:pPr>
              <w:pStyle w:val="Compact"/>
              <w:jc w:val="left"/>
            </w:pPr>
            <w:r>
              <w:t xml:space="preserve">VAT (20% per Russian Tax Code)</w:t>
            </w:r>
          </w:p>
        </w:tc>
        <w:tc>
          <w:tcPr/>
          <w:p>
            <w:pPr>
              <w:pStyle w:val="Compact"/>
              <w:jc w:val="right"/>
            </w:pPr>
            <w:r>
              <w:t xml:space="preserve">235,680.00 RUB</w:t>
            </w:r>
          </w:p>
        </w:tc>
      </w:tr>
      <w:tr>
        <w:tc>
          <w:tcPr/>
          <w:p>
            <w:pPr>
              <w:pStyle w:val="Compact"/>
              <w:jc w:val="left"/>
            </w:pPr>
            <w:r>
              <w:t xml:space="preserve">Travel &amp; Local Transport (within Saint Petersburg)</w:t>
            </w:r>
          </w:p>
        </w:tc>
        <w:tc>
          <w:tcPr/>
          <w:p>
            <w:pPr>
              <w:pStyle w:val="Compact"/>
              <w:jc w:val="right"/>
            </w:pPr>
            <w:r>
              <w:t xml:space="preserve">12,500.00 RUB</w:t>
            </w:r>
          </w:p>
        </w:tc>
      </w:tr>
      <w:tr>
        <w:tc>
          <w:tcPr/>
          <w:p>
            <w:pPr>
              <w:pStyle w:val="Compact"/>
              <w:jc w:val="left"/>
            </w:pPr>
            <w:r>
              <w:t xml:space="preserve">Document Reproduction &amp; Archiving Fees</w:t>
            </w:r>
          </w:p>
        </w:tc>
        <w:tc>
          <w:tcPr/>
          <w:p>
            <w:pPr>
              <w:pStyle w:val="Compact"/>
              <w:jc w:val="right"/>
            </w:pPr>
            <w:r>
              <w:t xml:space="preserve">4,200.00 RUB</w:t>
            </w:r>
          </w:p>
        </w:tc>
      </w:tr>
      <w:tr>
        <w:tc>
          <w:tcPr/>
          <w:p>
            <w:pPr>
              <w:pStyle w:val="Compact"/>
              <w:jc w:val="left"/>
            </w:pPr>
            <w:r>
              <w:t xml:space="preserve">TOTAL AMOUNT DUE</w:t>
            </w:r>
          </w:p>
        </w:tc>
        <w:tc>
          <w:tcPr/>
          <w:p>
            <w:pPr>
              <w:pStyle w:val="Compact"/>
              <w:jc w:val="right"/>
            </w:pPr>
            <w:r>
              <w:t xml:space="preserve">1,430,780.00 RUB</w:t>
            </w:r>
          </w:p>
        </w:tc>
      </w:tr>
    </w:tbl>
    <w:bookmarkStart w:id="24" w:name="payment-terms-and-important-notes"/>
    <w:p>
      <w:pPr>
        <w:pStyle w:val="Heading3"/>
      </w:pPr>
      <w:r>
        <w:t xml:space="preserve">Payment Terms and Important Notes</w:t>
      </w:r>
    </w:p>
    <w:p>
      <w:pPr>
        <w:numPr>
          <w:ilvl w:val="0"/>
          <w:numId w:val="1001"/>
        </w:numPr>
        <w:pStyle w:val="Compact"/>
      </w:pPr>
      <w:r>
        <w:t xml:space="preserve">Payment is due within thirty (30) calendar days from the date of issue of this invoice, i.e., no later than 14 July 2025. Late payments shall accrue interest at the key rate of the Central Bank of the Russian Federation as published on the relevant date.</w:t>
      </w:r>
    </w:p>
    <w:p>
      <w:pPr>
        <w:numPr>
          <w:ilvl w:val="0"/>
          <w:numId w:val="1001"/>
        </w:numPr>
        <w:pStyle w:val="Compact"/>
      </w:pPr>
      <w:r>
        <w:t xml:space="preserve">Payment shall be made via bank transfer to the following account: Sberbank, Saint Petersburg Branch, Account No. 40702810900000012345, BIC (SWIFT): SABRRU32, Correspondent Account: 30101810400000000603.</w:t>
      </w:r>
    </w:p>
    <w:p>
      <w:pPr>
        <w:numPr>
          <w:ilvl w:val="0"/>
          <w:numId w:val="1001"/>
        </w:numPr>
        <w:pStyle w:val="Compact"/>
      </w:pPr>
      <w:r>
        <w:t xml:space="preserve">This invoice is issued in accordance with the Federal Law No. 402-FZ "On Accounting" and the requirements of the Federal Tax Service of the Russian Federation for the City of Saint Petersburg.</w:t>
      </w:r>
    </w:p>
    <w:p>
      <w:pPr>
        <w:numPr>
          <w:ilvl w:val="0"/>
          <w:numId w:val="1001"/>
        </w:numPr>
        <w:pStyle w:val="Compact"/>
      </w:pPr>
      <w:r>
        <w:t xml:space="preserve">The Auditor's engagement is governed by the Professional Audit Contract No. PA-2025-SPB-019 dated 05 January 2025, executed in Saint Petersburg. All audit procedures were performed in strict compliance with the Federal Law No. 307-FZ "On Audit Activities" of the Russian Federation.</w:t>
      </w:r>
    </w:p>
    <w:p>
      <w:pPr>
        <w:numPr>
          <w:ilvl w:val="0"/>
          <w:numId w:val="1001"/>
        </w:numPr>
        <w:pStyle w:val="Compact"/>
      </w:pPr>
      <w:r>
        <w:t xml:space="preserve">All working papers, audit evidence, and the final Auditor's Report are to be retained by the client for a minimum of five (5) years in accordance with Russian archival legislation. A certified copy of the Auditor's Independent Opinion is to be filed with the relevant FNS office in Saint Petersburg within ten (10) business days of issuance.</w:t>
      </w:r>
    </w:p>
    <w:p>
      <w:pPr>
        <w:numPr>
          <w:ilvl w:val="0"/>
          <w:numId w:val="1001"/>
        </w:numPr>
        <w:pStyle w:val="Compact"/>
      </w:pPr>
      <w:r>
        <w:t xml:space="preserve">NorthBridge Audit &amp; Advisory Group confirms that the Auditor team assigned to this engagement holds valid licences issued by the Ministry of Finance of the Russian Federation and is registered in the Unified State Register of Audit Organizations.</w:t>
      </w:r>
    </w:p>
    <w:p>
      <w:pPr>
        <w:numPr>
          <w:ilvl w:val="0"/>
          <w:numId w:val="1001"/>
        </w:numPr>
        <w:pStyle w:val="Compact"/>
      </w:pPr>
      <w:r>
        <w:t xml:space="preserve">Any disputes arising from this invoice or the underlying audit services shall be resolved through the Arbitration Court of the City of Saint Petersburg, in accordance with the applicable procedural rules of the Russian Federation.</w:t>
      </w:r>
    </w:p>
    <w:bookmarkEnd w:id="24"/>
    <w:p>
      <w:pPr>
        <w:pStyle w:val="FirstParagraph"/>
      </w:pPr>
      <w:r>
        <w:rPr>
          <w:bCs/>
          <w:b/>
        </w:rPr>
        <w:t xml:space="preserve">Prepared and Issued By (Auditor)</w:t>
      </w:r>
      <w:r>
        <w:br/>
      </w:r>
      <w:r>
        <w:t xml:space="preserve">Dr. Elena V. Sokolova, Lead Auditor</w:t>
      </w:r>
      <w:r>
        <w:br/>
      </w:r>
      <w:r>
        <w:t xml:space="preserve">NorthBridge Audit &amp; Advisory Group</w:t>
      </w:r>
      <w:r>
        <w:br/>
      </w:r>
      <w:r>
        <w:t xml:space="preserve">Saint Petersburg, Russia</w:t>
      </w:r>
    </w:p>
    <w:p>
      <w:pPr>
        <w:pStyle w:val="BodyText"/>
      </w:pPr>
      <w:r>
        <w:rPr>
          <w:bCs/>
          <w:b/>
        </w:rPr>
        <w:t xml:space="preserve">Received and Acknowledged By (Client)</w:t>
      </w:r>
      <w:r>
        <w:br/>
      </w:r>
      <w:r>
        <w:t xml:space="preserve">Mr. Dmitry A. Kuznetsov, CFO</w:t>
      </w:r>
      <w:r>
        <w:br/>
      </w:r>
      <w:r>
        <w:t xml:space="preserve">OOO "Baltic Trade Logistics"</w:t>
      </w:r>
      <w:r>
        <w:br/>
      </w:r>
      <w:r>
        <w:t xml:space="preserve">Saint Petersburg, Russia</w:t>
      </w:r>
    </w:p>
    <w:p>
      <w:pPr>
        <w:pStyle w:val="BodyText"/>
      </w:pPr>
      <w:r>
        <w:t xml:space="preserve">This invoice was generated electronically and is valid without a physical signature in accordance with Federal Law No. 63-FZ "On Electronic Signature" of the Russian Federation.</w:t>
      </w:r>
    </w:p>
    <w:p>
      <w:pPr>
        <w:pStyle w:val="BodyText"/>
      </w:pPr>
      <w:r>
        <w:t xml:space="preserve">NorthBridge Audit &amp; Advisory Group | 12 Nevsky Prospekt, Saint Petersburg, 191011, Russian Federation | INN: 7805432198</w:t>
      </w:r>
    </w:p>
    <w:p>
      <w:pPr>
        <w:pStyle w:val="BodyText"/>
      </w:pPr>
      <w:r>
        <w:t xml:space="preserve">For queries regarding this invoice, please contact the billing department at billing@northbridge-audit.ru or +7 (812) 555-0147, Monday to Friday, 09:00–18:00 Moscow Time (MSK+1).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Saint Petersburg, Russia</dc:title>
  <dc:creator/>
  <dc:language>en</dc:language>
  <cp:keywords/>
  <dcterms:created xsi:type="dcterms:W3CDTF">2026-10-10T03:50:49Z</dcterms:created>
  <dcterms:modified xsi:type="dcterms:W3CDTF">2026-10-10T03:50:49Z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