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al-madina-audit-advisory-firm"/>
    <w:p>
      <w:pPr>
        <w:pStyle w:val="Heading1"/>
      </w:pPr>
      <w:r>
        <w:t xml:space="preserve">Al-Madina Audit &amp; Advisory Firm</w:t>
      </w:r>
    </w:p>
    <w:p>
      <w:pPr>
        <w:pStyle w:val="FirstParagraph"/>
      </w:pPr>
      <w:r>
        <w:t xml:space="preserve">Office 1204, Kingdom Tower, King Fahd Road</w:t>
      </w:r>
    </w:p>
    <w:p>
      <w:pPr>
        <w:pStyle w:val="BodyText"/>
      </w:pPr>
      <w:r>
        <w:t xml:space="preserve">Jeddah 23412, Saudi Arabia</w:t>
      </w:r>
    </w:p>
    <w:p>
      <w:pPr>
        <w:pStyle w:val="BodyText"/>
      </w:pPr>
      <w:r>
        <w:t xml:space="preserve">CR No: 1010456789 | VAT No: 310123456700003</w:t>
      </w:r>
    </w:p>
    <w:p>
      <w:pPr>
        <w:pStyle w:val="BodyText"/>
      </w:pPr>
      <w:r>
        <w:t xml:space="preserve">Tel: +966 12 654 3210 | Email: billing@almadinaaudit.sa</w:t>
      </w:r>
    </w:p>
    <w:p>
      <w:pPr>
        <w:pStyle w:val="BodyText"/>
      </w:pPr>
      <w:r>
        <w:t xml:space="preserve">Licensed Auditor – Saudi Arabia Jeddah</w:t>
      </w:r>
    </w:p>
    <w:bookmarkEnd w:id="20"/>
    <w:bookmarkStart w:id="21" w:name="invoice"/>
    <w:p>
      <w:pPr>
        <w:pStyle w:val="Heading2"/>
      </w:pPr>
      <w:r>
        <w:t xml:space="preserve">INVOICE</w:t>
      </w:r>
    </w:p>
    <w:p>
      <w:pPr>
        <w:pStyle w:val="FirstParagraph"/>
      </w:pPr>
      <w:r>
        <w:t xml:space="preserve">Invoice No: INV-2025-JED-0487</w:t>
      </w:r>
    </w:p>
    <w:p>
      <w:pPr>
        <w:pStyle w:val="BodyText"/>
      </w:pPr>
      <w:r>
        <w:t xml:space="preserve">Date of Issue: 15 June 2025</w:t>
      </w:r>
    </w:p>
    <w:p>
      <w:pPr>
        <w:pStyle w:val="BodyText"/>
      </w:pPr>
      <w:r>
        <w:t xml:space="preserve">Due Date: 15 July 2025</w:t>
      </w:r>
    </w:p>
    <w:p>
      <w:pPr>
        <w:pStyle w:val="BodyText"/>
      </w:pPr>
      <w:r>
        <w:t xml:space="preserve">Service Period: 01 Jan 2025 – 31 May 2025</w:t>
      </w:r>
    </w:p>
    <w:bookmarkEnd w:id="21"/>
    <w:bookmarkStart w:id="22" w:name="billed-to"/>
    <w:p>
      <w:pPr>
        <w:pStyle w:val="Heading3"/>
      </w:pPr>
      <w:r>
        <w:t xml:space="preserve">Billed To</w:t>
      </w:r>
    </w:p>
    <w:p>
      <w:pPr>
        <w:pStyle w:val="FirstParagraph"/>
      </w:pPr>
      <w:r>
        <w:rPr>
          <w:bCs/>
          <w:b/>
        </w:rPr>
        <w:t xml:space="preserve">Al-Rashid Industrial Group Co.</w:t>
      </w:r>
    </w:p>
    <w:p>
      <w:pPr>
        <w:pStyle w:val="BodyText"/>
      </w:pPr>
      <w:r>
        <w:t xml:space="preserve">Attn: Mr. Khalid Al-Rashid, CFO</w:t>
      </w:r>
    </w:p>
    <w:p>
      <w:pPr>
        <w:pStyle w:val="BodyText"/>
      </w:pPr>
      <w:r>
        <w:t xml:space="preserve">Building 7, Jeddah Industrial City</w:t>
      </w:r>
    </w:p>
    <w:p>
      <w:pPr>
        <w:pStyle w:val="BodyText"/>
      </w:pPr>
      <w:r>
        <w:t xml:space="preserve">Jeddah 23436, Saudi Arabia</w:t>
      </w:r>
    </w:p>
    <w:p>
      <w:pPr>
        <w:pStyle w:val="BodyText"/>
      </w:pPr>
      <w:r>
        <w:t xml:space="preserve">VAT No: 310987654300003</w:t>
      </w:r>
    </w:p>
    <w:bookmarkEnd w:id="22"/>
    <w:bookmarkStart w:id="23" w:name="prepared-by"/>
    <w:p>
      <w:pPr>
        <w:pStyle w:val="Heading3"/>
      </w:pPr>
      <w:r>
        <w:t xml:space="preserve">Prepared By</w:t>
      </w:r>
    </w:p>
    <w:p>
      <w:pPr>
        <w:pStyle w:val="FirstParagraph"/>
      </w:pPr>
      <w:r>
        <w:rPr>
          <w:bCs/>
          <w:b/>
        </w:rPr>
        <w:t xml:space="preserve">Dr. Sarah Al-Otaibi, CPA</w:t>
      </w:r>
    </w:p>
    <w:p>
      <w:pPr>
        <w:pStyle w:val="BodyText"/>
      </w:pPr>
      <w:r>
        <w:t xml:space="preserve">Lead Auditor – Al-Madina Audit &amp; Advisory Firm</w:t>
      </w:r>
    </w:p>
    <w:p>
      <w:pPr>
        <w:pStyle w:val="BodyText"/>
      </w:pPr>
      <w:r>
        <w:t xml:space="preserve">Professional License No: SA-AUD-2019-0342</w:t>
      </w:r>
    </w:p>
    <w:p>
      <w:pPr>
        <w:pStyle w:val="BodyText"/>
      </w:pPr>
      <w:r>
        <w:t xml:space="preserve">Jeddah, Saudi Arabia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 Services</w:t>
            </w:r>
          </w:p>
        </w:tc>
        <w:tc>
          <w:tcPr/>
          <w:p>
            <w:pPr>
              <w:pStyle w:val="Compact"/>
              <w:jc w:val="left"/>
            </w:pPr>
            <w:r>
              <w:t xml:space="preserve">Service Category</w:t>
            </w:r>
          </w:p>
        </w:tc>
        <w:tc>
          <w:tcPr/>
          <w:p>
            <w:pPr>
              <w:pStyle w:val="Compact"/>
              <w:jc w:val="left"/>
            </w:pPr>
            <w:r>
              <w:t xml:space="preserve">Hours</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Annual Financial Statement Audit – Review of balance sheet, income statement, and cash flow statements for fiscal year 2024 in compliance with IFRS and Saudi GAAP standards.</w:t>
            </w:r>
          </w:p>
        </w:tc>
        <w:tc>
          <w:tcPr/>
          <w:p>
            <w:pPr>
              <w:pStyle w:val="Compact"/>
              <w:jc w:val="left"/>
            </w:pPr>
            <w:r>
              <w:t xml:space="preserve">Financial Audit</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Internal Control Assessment – Comprehensive evaluation of internal control frameworks, risk management systems, and compliance procedures across all operational departments in Jeddah.</w:t>
            </w:r>
          </w:p>
        </w:tc>
        <w:tc>
          <w:tcPr/>
          <w:p>
            <w:pPr>
              <w:pStyle w:val="Compact"/>
              <w:jc w:val="left"/>
            </w:pPr>
            <w:r>
              <w:t xml:space="preserve">Internal Audit</w:t>
            </w:r>
          </w:p>
        </w:tc>
        <w:tc>
          <w:tcPr/>
          <w:p>
            <w:pPr>
              <w:pStyle w:val="Compact"/>
              <w:jc w:val="left"/>
            </w:pPr>
            <w:r>
              <w:t xml:space="preserve">80</w:t>
            </w:r>
          </w:p>
        </w:tc>
        <w:tc>
          <w:tcPr/>
          <w:p>
            <w:pPr>
              <w:pStyle w:val="Compact"/>
              <w:jc w:val="left"/>
            </w:pPr>
            <w:r>
              <w:t xml:space="preserve">420.00</w:t>
            </w:r>
          </w:p>
        </w:tc>
        <w:tc>
          <w:tcPr/>
          <w:p>
            <w:pPr>
              <w:pStyle w:val="Compact"/>
              <w:jc w:val="left"/>
            </w:pPr>
            <w:r>
              <w:t xml:space="preserve">33,600.00</w:t>
            </w:r>
          </w:p>
        </w:tc>
      </w:tr>
      <w:tr>
        <w:tc>
          <w:tcPr/>
          <w:p>
            <w:pPr>
              <w:pStyle w:val="Compact"/>
              <w:jc w:val="left"/>
            </w:pPr>
            <w:r>
              <w:t xml:space="preserve">3</w:t>
            </w:r>
          </w:p>
        </w:tc>
        <w:tc>
          <w:tcPr/>
          <w:p>
            <w:pPr>
              <w:pStyle w:val="Compact"/>
              <w:jc w:val="left"/>
            </w:pPr>
            <w:r>
              <w:t xml:space="preserve">Compliance Audit – Verification of adherence to Saudi Central Bank (SAMA) regulations, ZATCA tax compliance requirements, and Ministry of Commerce directives applicable in Saudi Arabia Jeddah.</w:t>
            </w:r>
          </w:p>
        </w:tc>
        <w:tc>
          <w:tcPr/>
          <w:p>
            <w:pPr>
              <w:pStyle w:val="Compact"/>
              <w:jc w:val="left"/>
            </w:pPr>
            <w:r>
              <w:t xml:space="preserve">Compliance Audit</w:t>
            </w:r>
          </w:p>
        </w:tc>
        <w:tc>
          <w:tcPr/>
          <w:p>
            <w:pPr>
              <w:pStyle w:val="Compact"/>
              <w:jc w:val="left"/>
            </w:pPr>
            <w:r>
              <w:t xml:space="preserve">60</w:t>
            </w:r>
          </w:p>
        </w:tc>
        <w:tc>
          <w:tcPr/>
          <w:p>
            <w:pPr>
              <w:pStyle w:val="Compact"/>
              <w:jc w:val="left"/>
            </w:pPr>
            <w:r>
              <w:t xml:space="preserve">400.00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IT Systems Audit – Examination of ERP systems, data integrity controls, cybersecurity protocols, and digital transaction records maintained by the client organization.</w:t>
            </w:r>
          </w:p>
        </w:tc>
        <w:tc>
          <w:tcPr/>
          <w:p>
            <w:pPr>
              <w:pStyle w:val="Compact"/>
              <w:jc w:val="left"/>
            </w:pPr>
            <w:r>
              <w:t xml:space="preserve">IT Audit</w:t>
            </w:r>
          </w:p>
        </w:tc>
        <w:tc>
          <w:tcPr/>
          <w:p>
            <w:pPr>
              <w:pStyle w:val="Compact"/>
              <w:jc w:val="left"/>
            </w:pPr>
            <w:r>
              <w:t xml:space="preserve">45</w:t>
            </w:r>
          </w:p>
        </w:tc>
        <w:tc>
          <w:tcPr/>
          <w:p>
            <w:pPr>
              <w:pStyle w:val="Compact"/>
              <w:jc w:val="left"/>
            </w:pPr>
            <w:r>
              <w:t xml:space="preserve">480.00</w:t>
            </w:r>
          </w:p>
        </w:tc>
        <w:tc>
          <w:tcPr/>
          <w:p>
            <w:pPr>
              <w:pStyle w:val="Compact"/>
              <w:jc w:val="left"/>
            </w:pPr>
            <w:r>
              <w:t xml:space="preserve">21,600.00</w:t>
            </w:r>
          </w:p>
        </w:tc>
      </w:tr>
      <w:tr>
        <w:tc>
          <w:tcPr/>
          <w:p>
            <w:pPr>
              <w:pStyle w:val="Compact"/>
              <w:jc w:val="left"/>
            </w:pPr>
            <w:r>
              <w:t xml:space="preserve">5</w:t>
            </w:r>
          </w:p>
        </w:tc>
        <w:tc>
          <w:tcPr/>
          <w:p>
            <w:pPr>
              <w:pStyle w:val="Compact"/>
              <w:jc w:val="left"/>
            </w:pPr>
            <w:r>
              <w:t xml:space="preserve">Forensic Audit Support – Investigation of irregular transactions flagged during preliminary review, including preparation of evidentiary documentation and expert witness testimony if required.</w:t>
            </w:r>
          </w:p>
        </w:tc>
        <w:tc>
          <w:tcPr/>
          <w:p>
            <w:pPr>
              <w:pStyle w:val="Compact"/>
              <w:jc w:val="left"/>
            </w:pPr>
            <w:r>
              <w:t xml:space="preserve">Forensic Audit</w:t>
            </w:r>
          </w:p>
        </w:tc>
        <w:tc>
          <w:tcPr/>
          <w:p>
            <w:pPr>
              <w:pStyle w:val="Compact"/>
              <w:jc w:val="left"/>
            </w:pPr>
            <w:r>
              <w:t xml:space="preserve">30</w:t>
            </w:r>
          </w:p>
        </w:tc>
        <w:tc>
          <w:tcPr/>
          <w:p>
            <w:pPr>
              <w:pStyle w:val="Compact"/>
              <w:jc w:val="left"/>
            </w:pPr>
            <w:r>
              <w:t xml:space="preserve">550.00</w:t>
            </w:r>
          </w:p>
        </w:tc>
        <w:tc>
          <w:tcPr/>
          <w:p>
            <w:pPr>
              <w:pStyle w:val="Compact"/>
              <w:jc w:val="left"/>
            </w:pPr>
            <w:r>
              <w:t xml:space="preserve">16,500.00</w:t>
            </w:r>
          </w:p>
        </w:tc>
      </w:tr>
      <w:tr>
        <w:tc>
          <w:tcPr/>
          <w:p>
            <w:pPr>
              <w:pStyle w:val="Compact"/>
              <w:jc w:val="left"/>
            </w:pPr>
            <w:r>
              <w:t xml:space="preserve">6</w:t>
            </w:r>
          </w:p>
        </w:tc>
        <w:tc>
          <w:tcPr/>
          <w:p>
            <w:pPr>
              <w:pStyle w:val="Compact"/>
              <w:jc w:val="left"/>
            </w:pPr>
            <w:r>
              <w:t xml:space="preserve">Management Consultation &amp; Reporting – Preparation of the final Auditor's report, management letter with recommendations, and two on-site consultation sessions in Jeddah.</w:t>
            </w:r>
          </w:p>
        </w:tc>
        <w:tc>
          <w:tcPr/>
          <w:p>
            <w:pPr>
              <w:pStyle w:val="Compact"/>
              <w:jc w:val="left"/>
            </w:pPr>
            <w:r>
              <w:t xml:space="preserve">Advisory</w:t>
            </w:r>
          </w:p>
        </w:tc>
        <w:tc>
          <w:tcPr/>
          <w:p>
            <w:pPr>
              <w:pStyle w:val="Compact"/>
              <w:jc w:val="left"/>
            </w:pPr>
            <w:r>
              <w:t xml:space="preserve">25</w:t>
            </w:r>
          </w:p>
        </w:tc>
        <w:tc>
          <w:tcPr/>
          <w:p>
            <w:pPr>
              <w:pStyle w:val="Compact"/>
              <w:jc w:val="left"/>
            </w:pPr>
            <w:r>
              <w:t xml:space="preserve">380.00</w:t>
            </w:r>
          </w:p>
        </w:tc>
        <w:tc>
          <w:tcPr/>
          <w:p>
            <w:pPr>
              <w:pStyle w:val="Compact"/>
              <w:jc w:val="left"/>
            </w:pPr>
            <w:r>
              <w:t xml:space="preserve">9,500.00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left"/>
            </w:pPr>
            <w:r>
              <w:t xml:space="preserve">159,200.00</w:t>
            </w:r>
          </w:p>
        </w:tc>
      </w:tr>
      <w:tr>
        <w:tc>
          <w:tcPr/>
          <w:p>
            <w:pPr>
              <w:pStyle w:val="Compact"/>
              <w:jc w:val="left"/>
            </w:pPr>
            <w:r>
              <w:t xml:space="preserve">VAT @ 15% (SAR)</w:t>
            </w:r>
          </w:p>
        </w:tc>
        <w:tc>
          <w:tcPr/>
          <w:p>
            <w:pPr>
              <w:pStyle w:val="Compact"/>
              <w:jc w:val="left"/>
            </w:pPr>
            <w:r>
              <w:t xml:space="preserve">23,880.00</w:t>
            </w:r>
          </w:p>
        </w:tc>
      </w:tr>
      <w:tr>
        <w:tc>
          <w:tcPr/>
          <w:p>
            <w:pPr>
              <w:pStyle w:val="Compact"/>
              <w:jc w:val="left"/>
            </w:pPr>
            <w:r>
              <w:t xml:space="preserve">Discount – Early Payment (5%)</w:t>
            </w:r>
          </w:p>
        </w:tc>
        <w:tc>
          <w:tcPr/>
          <w:p>
            <w:pPr>
              <w:pStyle w:val="Compact"/>
              <w:jc w:val="left"/>
            </w:pPr>
            <w:r>
              <w:t xml:space="preserve">(7,960.00)</w:t>
            </w:r>
          </w:p>
        </w:tc>
      </w:tr>
      <w:tr>
        <w:tc>
          <w:tcPr/>
          <w:p>
            <w:pPr>
              <w:pStyle w:val="Compact"/>
              <w:jc w:val="left"/>
            </w:pPr>
            <w:r>
              <w:t xml:space="preserve">Grand Total Due (SAR)</w:t>
            </w:r>
          </w:p>
        </w:tc>
        <w:tc>
          <w:tcPr/>
          <w:p>
            <w:pPr>
              <w:pStyle w:val="Compact"/>
              <w:jc w:val="left"/>
            </w:pPr>
            <w:r>
              <w:t xml:space="preserve">175,120.00</w:t>
            </w:r>
          </w:p>
        </w:tc>
      </w:tr>
    </w:tbl>
    <w:bookmarkStart w:id="24" w:name="invoice-notes-payment-instructions"/>
    <w:p>
      <w:pPr>
        <w:pStyle w:val="Heading3"/>
      </w:pPr>
      <w:r>
        <w:t xml:space="preserve">Invoice Notes &amp; Payment Instructions</w:t>
      </w:r>
    </w:p>
    <w:p>
      <w:pPr>
        <w:pStyle w:val="FirstParagraph"/>
      </w:pPr>
      <w:r>
        <w:t xml:space="preserve">This Invoice is issued by Al-Madina Audit &amp; Advisory Firm, a licensed Auditor practice registered in Saudi Arabia Jeddah, in accordance with the regulations of the Saudi Organization for Chartered and Professional Accountants (SOCPA) and the Zakat, Tax and Customs Authority (ZATCA).</w:t>
      </w:r>
    </w:p>
    <w:p>
      <w:pPr>
        <w:pStyle w:val="BodyText"/>
      </w:pPr>
      <w:r>
        <w:t xml:space="preserve">Payment is due within 30 days from the date of issue. Please reference Invoice No. INV-2025-JED-0487 on all remittances. A 5% early payment discount applies if settled within 14 days.</w:t>
      </w:r>
    </w:p>
    <w:p>
      <w:pPr>
        <w:pStyle w:val="BodyText"/>
      </w:pPr>
      <w:r>
        <w:t xml:space="preserve">Bank Details: Saudi National Bank (SNB) – IBAN: SA03 8000 0000 6080 1016 7519 – SWIFT: SNAKSAJ3 – Branch: Jeddah, Saudi Arabia.</w:t>
      </w:r>
    </w:p>
    <w:p>
      <w:pPr>
        <w:pStyle w:val="BodyText"/>
      </w:pPr>
      <w:r>
        <w:t xml:space="preserve">The Auditor's final report and all supporting working papers will be delivered electronically within five (5) business days following full settlement of this Invoice.</w:t>
      </w:r>
    </w:p>
    <w:bookmarkEnd w:id="24"/>
    <w:bookmarkStart w:id="25" w:name="terms-conditions"/>
    <w:p>
      <w:pPr>
        <w:pStyle w:val="Heading3"/>
      </w:pPr>
      <w:r>
        <w:t xml:space="preserve">Terms &amp; Conditions</w:t>
      </w:r>
    </w:p>
    <w:p>
      <w:pPr>
        <w:pStyle w:val="FirstParagraph"/>
      </w:pPr>
      <w:r>
        <w:t xml:space="preserve">1. This Invoice constitutes a binding agreement between Al-Madina Audit &amp; Advisory Firm (the Auditor) and Al-Rashid Industrial Group Co. (the Client) for the professional audit services described herein.</w:t>
      </w:r>
    </w:p>
    <w:p>
      <w:pPr>
        <w:pStyle w:val="BodyText"/>
      </w:pPr>
      <w:r>
        <w:t xml:space="preserve">2. All services are performed in strict compliance with International Standards on Auditing (ISA) as adopted in Saudi Arabia, and the professional code of ethics governing licensed Auditors in Saudi Arabia Jeddah.</w:t>
      </w:r>
    </w:p>
    <w:p>
      <w:pPr>
        <w:pStyle w:val="BodyText"/>
      </w:pPr>
      <w:r>
        <w:t xml:space="preserve">3. The Auditor reserves the right to withhold the final audit opinion and management letter until all outstanding balances on this Invoice are cleared in full.</w:t>
      </w:r>
    </w:p>
    <w:p>
      <w:pPr>
        <w:pStyle w:val="BodyText"/>
      </w:pPr>
      <w:r>
        <w:t xml:space="preserve">4. Any dispute arising from this Invoice shall be resolved through the Jeddah Commercial Court in Saudi Arabia, in accordance with the applicable laws of the Kingdom.</w:t>
      </w:r>
    </w:p>
    <w:p>
      <w:pPr>
        <w:pStyle w:val="BodyText"/>
      </w:pPr>
      <w:r>
        <w:t xml:space="preserve">5. Confidentiality obligations survive the completion of the engagement for a period of five (5) years. All client data processed during the audit is handled in accordance with Saudi data protection regulations.</w:t>
      </w:r>
    </w:p>
    <w:p>
      <w:pPr>
        <w:pStyle w:val="BodyText"/>
      </w:pPr>
      <w:r>
        <w:t xml:space="preserve">6. This Invoice is valid for 90 days from the date of issue. After this period, the Auditor reserves the right to re-quote rates based on prevailing market conditions in Saudi Arabia Jeddah.</w:t>
      </w:r>
    </w:p>
    <w:bookmarkEnd w:id="25"/>
    <w:p>
      <w:pPr>
        <w:pStyle w:val="BodyText"/>
      </w:pPr>
      <w:r>
        <w:rPr>
          <w:bCs/>
          <w:b/>
        </w:rPr>
        <w:t xml:space="preserve">Al-Madina Audit &amp; Advisory Firm</w:t>
      </w:r>
      <w:r>
        <w:t xml:space="preserve"> </w:t>
      </w:r>
      <w:r>
        <w:t xml:space="preserve">| Licensed Auditor Practice | Jeddah, Saudi Arabia</w:t>
      </w:r>
    </w:p>
    <w:p>
      <w:pPr>
        <w:pStyle w:val="BodyText"/>
      </w:pPr>
      <w:r>
        <w:t xml:space="preserve">CR: 1010456789 | VAT: 310123456700003 | SOCPA Registration: AUD-2019-0342</w:t>
      </w:r>
    </w:p>
    <w:p>
      <w:pPr>
        <w:pStyle w:val="BodyText"/>
      </w:pPr>
      <w:r>
        <w:t xml:space="preserve">This Invoice was generated electronically and is valid without a physical signature in accordance with ZATCA e-invoicing regulations.</w:t>
      </w:r>
    </w:p>
    <w:p>
      <w:pPr>
        <w:pStyle w:val="BodyText"/>
      </w:pPr>
      <w:r>
        <w:t xml:space="preserve">Thank you for engaging our Auditor services. We are committed to delivering the highest standard of professional assurance in Saudi Arabia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Saudi Arabia Jeddah</dc:title>
  <dc:creator/>
  <dc:language>en</dc:language>
  <cp:keywords/>
  <dcterms:created xsi:type="dcterms:W3CDTF">2026-10-10T05:48:12Z</dcterms:created>
  <dcterms:modified xsi:type="dcterms:W3CDTF">2026-10-10T05:48:12Z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