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audit-assurance-co."/>
    <w:p>
      <w:pPr>
        <w:pStyle w:val="Heading1"/>
      </w:pPr>
      <w:r>
        <w:t xml:space="preserve">Al-Riyadh Audit &amp; Assurance Co.</w:t>
      </w:r>
    </w:p>
    <w:p>
      <w:pPr>
        <w:pStyle w:val="FirstParagraph"/>
      </w:pPr>
      <w:r>
        <w:t xml:space="preserve">Commercial Registration No: 1010456789</w:t>
      </w:r>
    </w:p>
    <w:p>
      <w:pPr>
        <w:pStyle w:val="BodyText"/>
      </w:pPr>
      <w:r>
        <w:t xml:space="preserve">VAT Registration No: 310123456700003</w:t>
      </w:r>
    </w:p>
    <w:p>
      <w:pPr>
        <w:pStyle w:val="BodyText"/>
      </w:pPr>
      <w:r>
        <w:t xml:space="preserve">Office 1204, Kingdom Tower, Olaya Street</w:t>
      </w:r>
    </w:p>
    <w:p>
      <w:pPr>
        <w:pStyle w:val="BodyText"/>
      </w:pPr>
      <w:r>
        <w:t xml:space="preserve">Riyadh 12213, Saudi Arabia</w:t>
      </w:r>
    </w:p>
    <w:p>
      <w:pPr>
        <w:pStyle w:val="BodyText"/>
      </w:pPr>
      <w:r>
        <w:t xml:space="preserve">Tel: +966 11 456 7890 | Email: billing@alriyadhaudit.sa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Apr 2025 – 30 May 2025</w:t>
      </w:r>
    </w:p>
    <w:p>
      <w:pPr>
        <w:pStyle w:val="BodyText"/>
      </w:pPr>
      <w:r>
        <w:t xml:space="preserve">VAT 15% Applied</w:t>
      </w:r>
    </w:p>
    <w:bookmarkEnd w:id="21"/>
    <w:bookmarkStart w:id="22" w:name="billed-to-client"/>
    <w:p>
      <w:pPr>
        <w:pStyle w:val="Heading3"/>
      </w:pPr>
      <w:r>
        <w:t xml:space="preserve">Billed To (Client)</w:t>
      </w:r>
    </w:p>
    <w:p>
      <w:pPr>
        <w:pStyle w:val="FirstParagraph"/>
      </w:pPr>
      <w:r>
        <w:rPr>
          <w:bCs/>
          <w:b/>
        </w:rPr>
        <w:t xml:space="preserve">Al-Nakheel Industrial Group</w:t>
      </w:r>
    </w:p>
    <w:p>
      <w:pPr>
        <w:pStyle w:val="BodyText"/>
      </w:pPr>
      <w:r>
        <w:t xml:space="preserve">Attn: Mr. Khalid Al-Otaibi, CFO</w:t>
      </w:r>
    </w:p>
    <w:p>
      <w:pPr>
        <w:pStyle w:val="BodyText"/>
      </w:pPr>
      <w:r>
        <w:t xml:space="preserve">Building 7, King Abdullah Financial District</w:t>
      </w:r>
    </w:p>
    <w:p>
      <w:pPr>
        <w:pStyle w:val="BodyText"/>
      </w:pPr>
      <w:r>
        <w:t xml:space="preserve">Riyadh 13519, Saudi Arabia</w:t>
      </w:r>
    </w:p>
    <w:p>
      <w:pPr>
        <w:pStyle w:val="BodyText"/>
      </w:pPr>
      <w:r>
        <w:t xml:space="preserve">CR: 4030123456</w:t>
      </w:r>
    </w:p>
    <w:p>
      <w:pPr>
        <w:pStyle w:val="BodyText"/>
      </w:pPr>
      <w:r>
        <w:t xml:space="preserve">VAT No: 310987654300003</w:t>
      </w:r>
    </w:p>
    <w:p>
      <w:pPr>
        <w:pStyle w:val="BodyText"/>
      </w:pPr>
      <w:r>
        <w:t xml:space="preserve">Email: finance@alnakheel.sa</w:t>
      </w:r>
    </w:p>
    <w:bookmarkEnd w:id="22"/>
    <w:bookmarkStart w:id="23" w:name="prepared-by-auditor"/>
    <w:p>
      <w:pPr>
        <w:pStyle w:val="Heading3"/>
      </w:pPr>
      <w:r>
        <w:t xml:space="preserve">Prepared By (Auditor)</w:t>
      </w:r>
    </w:p>
    <w:p>
      <w:pPr>
        <w:pStyle w:val="FirstParagraph"/>
      </w:pPr>
      <w:r>
        <w:rPr>
          <w:bCs/>
          <w:b/>
        </w:rPr>
        <w:t xml:space="preserve">Eng. Sarah Al-Harbi, CPA</w:t>
      </w:r>
    </w:p>
    <w:p>
      <w:pPr>
        <w:pStyle w:val="BodyText"/>
      </w:pPr>
      <w:r>
        <w:t xml:space="preserve">Lead Auditor – Financial Statements</w:t>
      </w:r>
    </w:p>
    <w:p>
      <w:pPr>
        <w:pStyle w:val="BodyText"/>
      </w:pPr>
      <w:r>
        <w:t xml:space="preserve">License No: SA-CPA-2019-0342</w:t>
      </w:r>
    </w:p>
    <w:p>
      <w:pPr>
        <w:pStyle w:val="BodyText"/>
      </w:pPr>
      <w:r>
        <w:t xml:space="preserve">Al-Riyadh Audit &amp; Assurance Co.</w:t>
      </w:r>
    </w:p>
    <w:p>
      <w:pPr>
        <w:pStyle w:val="BodyText"/>
      </w:pPr>
      <w:r>
        <w:t xml:space="preserve">Riyadh, Saudi Arabia</w:t>
      </w:r>
    </w:p>
    <w:p>
      <w:pPr>
        <w:pStyle w:val="BodyText"/>
      </w:pPr>
      <w:r>
        <w:t xml:space="preserve">Email: s.alharbi@alriyadhaudit.sa</w:t>
      </w:r>
    </w:p>
    <w:p>
      <w:pPr>
        <w:pStyle w:val="BodyText"/>
      </w:pPr>
      <w:r>
        <w:t xml:space="preserve">Phone: +966 50 123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Statutory Financial Audit – Annual Review of Balance Sheet, Income Statement, and Cash Flow Statement for Al-Nakheel Industrial Group, conducted in compliance with Saudi Organization for Chartered and Professional Accountants (SOCPA) standards and International Financial Reporting Standards (IFRS) as adopted in Saudi Arabia Riyadh.</w:t>
            </w:r>
          </w:p>
        </w:tc>
        <w:tc>
          <w:tcPr/>
          <w:p>
            <w:pPr>
              <w:pStyle w:val="Compact"/>
              <w:jc w:val="left"/>
            </w:pPr>
            <w:r>
              <w:t xml:space="preserve">01 Apr – 15 Apr 2025</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Internal Control Assessment – Comprehensive evaluation of the client's internal control framework, including segregation of duties, authorization protocols, and IT general controls across all operational departments located in Riyadh, Saudi Arabia.</w:t>
            </w:r>
          </w:p>
        </w:tc>
        <w:tc>
          <w:tcPr/>
          <w:p>
            <w:pPr>
              <w:pStyle w:val="Compact"/>
              <w:jc w:val="left"/>
            </w:pPr>
            <w:r>
              <w:t xml:space="preserve">16 Apr – 30 Apr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Compliance Audit – Verification of adherence to Saudi Arabian Monetary Authority (SAMA) regulations, Zakat and Tax Authority (ZATCA) requirements, and local labor law obligations applicable to industrial entities operating in Saudi Arabia Riyadh.</w:t>
            </w:r>
          </w:p>
        </w:tc>
        <w:tc>
          <w:tcPr/>
          <w:p>
            <w:pPr>
              <w:pStyle w:val="Compact"/>
              <w:jc w:val="left"/>
            </w:pPr>
            <w:r>
              <w:t xml:space="preserve">01 May – 15 May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Forensic Audit Support – Investigation of irregular transactions flagged during the interim review, including bank reconciliation anomalies and vendor payment discrepancies. The Auditor prepared a detailed forensic report with recommendations for remediation.</w:t>
            </w:r>
          </w:p>
        </w:tc>
        <w:tc>
          <w:tcPr/>
          <w:p>
            <w:pPr>
              <w:pStyle w:val="Compact"/>
              <w:jc w:val="left"/>
            </w:pPr>
            <w:r>
              <w:t xml:space="preserve">16 May – 25 May 2025</w:t>
            </w:r>
          </w:p>
        </w:tc>
        <w:tc>
          <w:tcPr/>
          <w:p>
            <w:pPr>
              <w:pStyle w:val="Compact"/>
              <w:jc w:val="left"/>
            </w:pPr>
            <w:r>
              <w:t xml:space="preserve">40</w:t>
            </w:r>
          </w:p>
        </w:tc>
        <w:tc>
          <w:tcPr/>
          <w:p>
            <w:pPr>
              <w:pStyle w:val="Compact"/>
              <w:jc w:val="left"/>
            </w:pPr>
            <w:r>
              <w:t xml:space="preserve">550.00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Audit Report Preparation &amp; Management Letter – Drafting of the final Auditor's opinion letter, management representation letter, and a detailed management letter outlining findings, risk assessments, and corrective action recommendations for the Board of Directors.</w:t>
            </w:r>
          </w:p>
        </w:tc>
        <w:tc>
          <w:tcPr/>
          <w:p>
            <w:pPr>
              <w:pStyle w:val="Compact"/>
              <w:jc w:val="left"/>
            </w:pPr>
            <w:r>
              <w:t xml:space="preserve">26 May – 30 May 2025</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On-Site Fieldwork &amp; Travel – Physical attendance at the client's manufacturing facility in the Riyadh Industrial City for inventory count verification, fixed asset inspection, and employee interviews as part of the Auditor's fieldwork procedures.</w:t>
            </w:r>
          </w:p>
        </w:tc>
        <w:tc>
          <w:tcPr/>
          <w:p>
            <w:pPr>
              <w:pStyle w:val="Compact"/>
              <w:jc w:val="left"/>
            </w:pPr>
            <w:r>
              <w:t xml:space="preserve">05 Apr – 20 May 2025</w:t>
            </w:r>
          </w:p>
        </w:tc>
        <w:tc>
          <w:tcPr/>
          <w:p>
            <w:pPr>
              <w:pStyle w:val="Compact"/>
              <w:jc w:val="left"/>
            </w:pPr>
            <w:r>
              <w:t xml:space="preserve">25</w:t>
            </w:r>
          </w:p>
        </w:tc>
        <w:tc>
          <w:tcPr/>
          <w:p>
            <w:pPr>
              <w:pStyle w:val="Compact"/>
              <w:jc w:val="left"/>
            </w:pPr>
            <w:r>
              <w:t xml:space="preserve">400.00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rPr>
                <w:bCs/>
                <w:b/>
              </w:rPr>
              <w:t xml:space="preserve">162,500.00</w:t>
            </w:r>
          </w:p>
        </w:tc>
      </w:tr>
      <w:tr>
        <w:tc>
          <w:tcPr/>
          <w:p>
            <w:pPr>
              <w:pStyle w:val="Compact"/>
              <w:jc w:val="left"/>
            </w:pPr>
            <w:r>
              <w:t xml:space="preserve">VAT @ 15% (SAR)</w:t>
            </w:r>
          </w:p>
        </w:tc>
        <w:tc>
          <w:tcPr/>
          <w:p>
            <w:pPr>
              <w:pStyle w:val="Compact"/>
              <w:jc w:val="left"/>
            </w:pPr>
            <w:r>
              <w:rPr>
                <w:bCs/>
                <w:b/>
              </w:rPr>
              <w:t xml:space="preserve">24,375.00</w:t>
            </w:r>
          </w:p>
        </w:tc>
      </w:tr>
      <w:tr>
        <w:tc>
          <w:tcPr/>
          <w:p>
            <w:pPr>
              <w:pStyle w:val="Compact"/>
              <w:jc w:val="left"/>
            </w:pPr>
            <w:r>
              <w:t xml:space="preserve">Discount – Early Payment (5%)</w:t>
            </w:r>
          </w:p>
        </w:tc>
        <w:tc>
          <w:tcPr/>
          <w:p>
            <w:pPr>
              <w:pStyle w:val="Compact"/>
              <w:jc w:val="left"/>
            </w:pPr>
            <w:r>
              <w:t xml:space="preserve">(8,125.00)</w:t>
            </w:r>
          </w:p>
        </w:tc>
      </w:tr>
      <w:tr>
        <w:tc>
          <w:tcPr/>
          <w:p>
            <w:pPr>
              <w:pStyle w:val="Compact"/>
              <w:jc w:val="left"/>
            </w:pPr>
            <w:r>
              <w:t xml:space="preserve">TOTAL DUE (SAR)</w:t>
            </w:r>
          </w:p>
        </w:tc>
        <w:tc>
          <w:tcPr/>
          <w:p>
            <w:pPr>
              <w:pStyle w:val="Compact"/>
              <w:jc w:val="left"/>
            </w:pPr>
            <w:r>
              <w:t xml:space="preserve">178,750.00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from the Invoice issue date (15 July 2025).</w:t>
      </w:r>
    </w:p>
    <w:p>
      <w:pPr>
        <w:pStyle w:val="BodyText"/>
      </w:pPr>
      <w:r>
        <w:rPr>
          <w:bCs/>
          <w:b/>
        </w:rPr>
        <w:t xml:space="preserve">Payment Method:</w:t>
      </w:r>
      <w:r>
        <w:t xml:space="preserve"> </w:t>
      </w:r>
      <w:r>
        <w:t xml:space="preserve">Bank Transfer (Wire) to the account below.</w:t>
      </w:r>
    </w:p>
    <w:p>
      <w:pPr>
        <w:pStyle w:val="BodyText"/>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Audit &amp; Assurance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Please cite Invoice No. INV-2025-00487 in the payment reference field.</w:t>
      </w:r>
    </w:p>
    <w:p>
      <w:pPr>
        <w:pStyle w:val="BodyText"/>
      </w:pPr>
      <w:r>
        <w:rPr>
          <w:bCs/>
          <w:b/>
        </w:rPr>
        <w:t xml:space="preserve">Late Payment:</w:t>
      </w:r>
      <w:r>
        <w:t xml:space="preserve"> </w:t>
      </w:r>
      <w:r>
        <w:t xml:space="preserve">A penalty of 2% per month will be applied to overdue balances in accordance with Saudi commercial law.</w:t>
      </w:r>
    </w:p>
    <w:bookmarkEnd w:id="24"/>
    <w:bookmarkStart w:id="25" w:name="important-notes-auditors-declaration"/>
    <w:p>
      <w:pPr>
        <w:pStyle w:val="Heading3"/>
      </w:pPr>
      <w:r>
        <w:t xml:space="preserve">Important Notes &amp; Auditor's Declaration</w:t>
      </w:r>
    </w:p>
    <w:p>
      <w:pPr>
        <w:pStyle w:val="FirstParagraph"/>
      </w:pPr>
      <w:r>
        <w:t xml:space="preserve">1. This Invoice has been issued by a licensed Auditor registered with the Saudi Organization for Chartered and Professional Accountants (SOCPA) and is valid for use within Saudi Arabia Riyadh and all regions of the Kingdom.</w:t>
      </w:r>
    </w:p>
    <w:p>
      <w:pPr>
        <w:pStyle w:val="BodyText"/>
      </w:pPr>
      <w:r>
        <w:t xml:space="preserve">2. The Auditor confirms that all services described herein were performed in strict accordance with International Standards on Auditing (ISA) and the Saudi National Standards for Auditing. The Auditor's independence and objectivity were maintained throughout the engagement.</w:t>
      </w:r>
    </w:p>
    <w:p>
      <w:pPr>
        <w:pStyle w:val="BodyText"/>
      </w:pPr>
      <w:r>
        <w:t xml:space="preserve">3. The final audit opinion and management letter will be delivered to the client's Board of Directors within five (5) business days following the completion of all fieldwork procedures in Riyadh, Saudi Arabia.</w:t>
      </w:r>
    </w:p>
    <w:p>
      <w:pPr>
        <w:pStyle w:val="BodyText"/>
      </w:pPr>
      <w:r>
        <w:t xml:space="preserve">4. All working papers, audit evidence, and supporting documentation related to this engagement will be retained by the Auditor for a minimum period of seven (7) years in compliance with ZATCA record-keeping requirements.</w:t>
      </w:r>
    </w:p>
    <w:p>
      <w:pPr>
        <w:pStyle w:val="BodyText"/>
      </w:pPr>
      <w:r>
        <w:t xml:space="preserve">5. This Invoice is subject to the terms and conditions outlined in the Master Service Agreement (MSA) dated 10 March 2025 between Al-Riyadh Audit &amp; Assurance Co. and Al-Nakheel Industrial Group.</w:t>
      </w:r>
    </w:p>
    <w:p>
      <w:pPr>
        <w:pStyle w:val="BodyText"/>
      </w:pPr>
      <w:r>
        <w:t xml:space="preserve">6. Any disputes arising from this Invoice or the associated Auditor services shall be resolved through the competent courts in Riyadh, Saudi Arabia, in accordance with the Saudi Commercial Courts Law.</w:t>
      </w:r>
    </w:p>
    <w:bookmarkEnd w:id="25"/>
    <w:p>
      <w:pPr>
        <w:pStyle w:val="BodyText"/>
      </w:pPr>
      <w:r>
        <w:rPr>
          <w:bCs/>
          <w:b/>
        </w:rPr>
        <w:t xml:space="preserve">Al-Riyadh Audit &amp; Assurance Co.</w:t>
      </w:r>
      <w:r>
        <w:t xml:space="preserve"> </w:t>
      </w:r>
      <w:r>
        <w:t xml:space="preserve">– A licensed Audit and Assurance firm registered in Saudi Arabia, Riyadh.</w:t>
      </w:r>
    </w:p>
    <w:p>
      <w:pPr>
        <w:pStyle w:val="BodyText"/>
      </w:pPr>
      <w:r>
        <w:t xml:space="preserve">Commercial Registration: 1010456789 | VAT: 310123456700003 | SOCPA Firm License: SA-AUD-2015-0087</w:t>
      </w:r>
    </w:p>
    <w:p>
      <w:pPr>
        <w:pStyle w:val="BodyText"/>
      </w:pPr>
      <w:r>
        <w:t xml:space="preserve">This Invoice was generated electronically and is valid without a physical signature in accordance with Saudi e-transaction regulations.</w:t>
      </w:r>
    </w:p>
    <w:p>
      <w:pPr>
        <w:pStyle w:val="BodyText"/>
      </w:pPr>
      <w:r>
        <w:t xml:space="preserve">For queries regarding this Invoice, please contact our billing department at billing@alriyadhaudit.sa or +966 11 456 7890.</w:t>
      </w:r>
    </w:p>
    <w:p>
      <w:pPr>
        <w:pStyle w:val="BodyText"/>
      </w:pPr>
      <w:r>
        <w:t xml:space="preserve">© 2025 Al-Riyadh Audit &amp; Assurance Co. All rights reserved.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Saudi Arabia Riyadh</dc:title>
  <dc:creator/>
  <dc:language>en</dc:language>
  <cp:keywords/>
  <dcterms:created xsi:type="dcterms:W3CDTF">2026-10-10T03:43:23Z</dcterms:created>
  <dcterms:modified xsi:type="dcterms:W3CDTF">2026-10-10T03:43:23Z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