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invoice"/>
    <w:p>
      <w:pPr>
        <w:pStyle w:val="Heading1"/>
      </w:pPr>
      <w:r>
        <w:t xml:space="preserve">INVOICE</w:t>
      </w:r>
    </w:p>
    <w:p>
      <w:pPr>
        <w:pStyle w:val="FirstParagraph"/>
      </w:pPr>
      <w:r>
        <w:t xml:space="preserve">Professional Auditor Services — Singapore Singapore</w:t>
      </w:r>
    </w:p>
    <w:bookmarkEnd w:id="20"/>
    <w:p>
      <w:pPr>
        <w:pStyle w:val="BodyText"/>
      </w:pPr>
      <w:r>
        <w:t xml:space="preserve">Invoice No: INV-SGS-2025-04871</w:t>
      </w:r>
    </w:p>
    <w:p>
      <w:pPr>
        <w:pStyle w:val="BodyText"/>
      </w:pPr>
      <w:r>
        <w:t xml:space="preserve">Invoice Date: 15 June 2025</w:t>
      </w:r>
    </w:p>
    <w:p>
      <w:pPr>
        <w:pStyle w:val="BodyText"/>
      </w:pPr>
      <w:r>
        <w:t xml:space="preserve">Due Date: 15 July 2025</w:t>
      </w:r>
    </w:p>
    <w:p>
      <w:pPr>
        <w:pStyle w:val="BodyText"/>
      </w:pPr>
      <w:r>
        <w:t xml:space="preserve">Singapore Singapore</w:t>
      </w:r>
    </w:p>
    <w:bookmarkStart w:id="21" w:name="auditor-service-provider"/>
    <w:p>
      <w:pPr>
        <w:pStyle w:val="Heading3"/>
      </w:pPr>
      <w:r>
        <w:t xml:space="preserve">Auditor (Service Provider)</w:t>
      </w:r>
    </w:p>
    <w:p>
      <w:pPr>
        <w:pStyle w:val="FirstParagraph"/>
      </w:pPr>
      <w:r>
        <w:rPr>
          <w:bCs/>
          <w:b/>
        </w:rPr>
        <w:t xml:space="preserve">Meridian Audit &amp; Assurance Pte. Ltd.</w:t>
      </w:r>
    </w:p>
    <w:p>
      <w:pPr>
        <w:pStyle w:val="BodyText"/>
      </w:pPr>
      <w:r>
        <w:t xml:space="preserve">12 Marina Boulevard, Level 34</w:t>
      </w:r>
    </w:p>
    <w:p>
      <w:pPr>
        <w:pStyle w:val="BodyText"/>
      </w:pPr>
      <w:r>
        <w:t xml:space="preserve">Singapore Singapore 018982</w:t>
      </w:r>
    </w:p>
    <w:p>
      <w:pPr>
        <w:pStyle w:val="BodyText"/>
      </w:pPr>
      <w:r>
        <w:t xml:space="preserve">Tel: +65 6842 7700</w:t>
      </w:r>
    </w:p>
    <w:p>
      <w:pPr>
        <w:pStyle w:val="BodyText"/>
      </w:pPr>
      <w:r>
        <w:t xml:space="preserve">Email: billing@meridianaudit.sg</w:t>
      </w:r>
    </w:p>
    <w:p>
      <w:pPr>
        <w:pStyle w:val="BodyText"/>
      </w:pPr>
      <w:r>
        <w:t xml:space="preserve">UEN: 2019334567</w:t>
      </w:r>
    </w:p>
    <w:p>
      <w:pPr>
        <w:pStyle w:val="BodyText"/>
      </w:pPr>
      <w:r>
        <w:t xml:space="preserve">Registered in Singapore Singapore</w:t>
      </w:r>
    </w:p>
    <w:bookmarkEnd w:id="21"/>
    <w:bookmarkStart w:id="22" w:name="bill-to-client"/>
    <w:p>
      <w:pPr>
        <w:pStyle w:val="Heading3"/>
      </w:pPr>
      <w:r>
        <w:t xml:space="preserve">Bill To (Client)</w:t>
      </w:r>
    </w:p>
    <w:p>
      <w:pPr>
        <w:pStyle w:val="FirstParagraph"/>
      </w:pPr>
      <w:r>
        <w:rPr>
          <w:bCs/>
          <w:b/>
        </w:rPr>
        <w:t xml:space="preserve">Harbourview Logistics Group Pte. Ltd.</w:t>
      </w:r>
    </w:p>
    <w:p>
      <w:pPr>
        <w:pStyle w:val="BodyText"/>
      </w:pPr>
      <w:r>
        <w:t xml:space="preserve">88 Raffles Place, Tower B, Level 21</w:t>
      </w:r>
    </w:p>
    <w:p>
      <w:pPr>
        <w:pStyle w:val="BodyText"/>
      </w:pPr>
      <w:r>
        <w:t xml:space="preserve">Singapore Singapore 048622</w:t>
      </w:r>
    </w:p>
    <w:p>
      <w:pPr>
        <w:pStyle w:val="BodyText"/>
      </w:pPr>
      <w:r>
        <w:t xml:space="preserve">Attn: Mr. Tan Wei Jie, CFO</w:t>
      </w:r>
    </w:p>
    <w:p>
      <w:pPr>
        <w:pStyle w:val="BodyText"/>
      </w:pPr>
      <w:r>
        <w:t xml:space="preserve">Tel: +65 6331 4455</w:t>
      </w:r>
    </w:p>
    <w:p>
      <w:pPr>
        <w:pStyle w:val="BodyText"/>
      </w:pPr>
      <w:r>
        <w:t xml:space="preserve">Email: finance@harbourviewlogistics.sg</w:t>
      </w:r>
    </w:p>
    <w:p>
      <w:pPr>
        <w:pStyle w:val="BodyText"/>
      </w:pPr>
      <w:r>
        <w:t xml:space="preserve">UEN: 2005112233</w:t>
      </w:r>
    </w:p>
    <w:bookmarkEnd w:id="22"/>
    <w:bookmarkStart w:id="24" w:name="invoice-details-auditor-engagement-scope"/>
    <w:p>
      <w:pPr>
        <w:pStyle w:val="Heading2"/>
      </w:pPr>
      <w:r>
        <w:t xml:space="preserve">Invoice Details — Auditor Engagement Scope</w:t>
      </w:r>
    </w:p>
    <w:p>
      <w:pPr>
        <w:pStyle w:val="FirstParagraph"/>
      </w:pPr>
      <w:r>
        <w:t xml:space="preserve">This Invoice is issued by the Auditor, Meridian Audit &amp; Assurance Pte. Ltd., for professional audit and assurance services rendered to Harbourview Logistics Group Pte. Ltd. in accordance with the engagement letter dated 1 February 2025. All services were performed in compliance with the Singapore Standards on Auditing (SSAs) and the Accounting and Corporate Regulatory Authority (ACRA) regulations applicable in Singapore Singapore. This Invoice reflects the full scope of work completed by the Auditor during the fiscal year 2024–2025.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Auditor Hours</w:t>
            </w:r>
          </w:p>
        </w:tc>
        <w:tc>
          <w:tcPr/>
          <w:p>
            <w:pPr>
              <w:pStyle w:val="Compact"/>
              <w:jc w:val="left"/>
            </w:pPr>
            <w:r>
              <w:t xml:space="preserve">Rate (SGD)</w:t>
            </w:r>
          </w:p>
        </w:tc>
        <w:tc>
          <w:tcPr/>
          <w:p>
            <w:pPr>
              <w:pStyle w:val="Compact"/>
              <w:jc w:val="left"/>
            </w:pPr>
            <w:r>
              <w:t xml:space="preserve">Amount (SGD)</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Annual Financial Statement Audit — Full-scope audit of consolidated financial statements for FY2024, including balance sheet verification, income statement review, and cash flow analysis conducted by the Auditor.</w:t>
            </w:r>
          </w:p>
        </w:tc>
        <w:tc>
          <w:tcPr/>
          <w:p>
            <w:pPr>
              <w:pStyle w:val="Compact"/>
              <w:jc w:val="left"/>
            </w:pPr>
            <w:r>
              <w:t xml:space="preserve">120 hrs</w:t>
            </w:r>
          </w:p>
        </w:tc>
        <w:tc>
          <w:tcPr/>
          <w:p>
            <w:pPr>
              <w:pStyle w:val="Compact"/>
              <w:jc w:val="left"/>
            </w:pPr>
            <w:r>
              <w:t xml:space="preserve">SGD 285.00</w:t>
            </w:r>
          </w:p>
        </w:tc>
        <w:tc>
          <w:tcPr/>
          <w:p>
            <w:pPr>
              <w:pStyle w:val="Compact"/>
              <w:jc w:val="left"/>
            </w:pPr>
            <w:r>
              <w:t xml:space="preserve">SGD 34,200.00</w:t>
            </w:r>
          </w:p>
        </w:tc>
        <w:tc>
          <w:tcPr/>
          <w:p>
            <w:pPr>
              <w:pStyle w:val="Compact"/>
              <w:jc w:val="left"/>
            </w:pPr>
            <w:r>
              <w:t xml:space="preserve">Singapore Singapore</w:t>
            </w:r>
          </w:p>
        </w:tc>
      </w:tr>
      <w:tr>
        <w:tc>
          <w:tcPr/>
          <w:p>
            <w:pPr>
              <w:pStyle w:val="Compact"/>
              <w:jc w:val="left"/>
            </w:pPr>
            <w:r>
              <w:t xml:space="preserve">02</w:t>
            </w:r>
          </w:p>
        </w:tc>
        <w:tc>
          <w:tcPr/>
          <w:p>
            <w:pPr>
              <w:pStyle w:val="Compact"/>
              <w:jc w:val="left"/>
            </w:pPr>
            <w:r>
              <w:t xml:space="preserve">Internal Controls Assessment — Comprehensive evaluation of internal control frameworks, risk management systems, and compliance procedures performed by the Auditor across all operational divisions.</w:t>
            </w:r>
          </w:p>
        </w:tc>
        <w:tc>
          <w:tcPr/>
          <w:p>
            <w:pPr>
              <w:pStyle w:val="Compact"/>
              <w:jc w:val="left"/>
            </w:pPr>
            <w:r>
              <w:t xml:space="preserve">65 hrs</w:t>
            </w:r>
          </w:p>
        </w:tc>
        <w:tc>
          <w:tcPr/>
          <w:p>
            <w:pPr>
              <w:pStyle w:val="Compact"/>
              <w:jc w:val="left"/>
            </w:pPr>
            <w:r>
              <w:t xml:space="preserve">SGD 265.00</w:t>
            </w:r>
          </w:p>
        </w:tc>
        <w:tc>
          <w:tcPr/>
          <w:p>
            <w:pPr>
              <w:pStyle w:val="Compact"/>
              <w:jc w:val="left"/>
            </w:pPr>
            <w:r>
              <w:t xml:space="preserve">SGD 17,225.00</w:t>
            </w:r>
          </w:p>
        </w:tc>
        <w:tc>
          <w:tcPr/>
          <w:p>
            <w:pPr>
              <w:pStyle w:val="Compact"/>
              <w:jc w:val="left"/>
            </w:pPr>
            <w:r>
              <w:t xml:space="preserve">Singapore Singapore</w:t>
            </w:r>
          </w:p>
        </w:tc>
      </w:tr>
      <w:tr>
        <w:tc>
          <w:tcPr/>
          <w:p>
            <w:pPr>
              <w:pStyle w:val="Compact"/>
              <w:jc w:val="left"/>
            </w:pPr>
            <w:r>
              <w:t xml:space="preserve">03</w:t>
            </w:r>
          </w:p>
        </w:tc>
        <w:tc>
          <w:tcPr/>
          <w:p>
            <w:pPr>
              <w:pStyle w:val="Compact"/>
              <w:jc w:val="left"/>
            </w:pPr>
            <w:r>
              <w:t xml:space="preserve">Tax Compliance Review — Verification of corporate tax filings, GST reconciliation, and transfer pricing documentation prepared and reviewed by the Auditor in alignment with IRAS requirements in Singapore Singapore.</w:t>
            </w:r>
          </w:p>
        </w:tc>
        <w:tc>
          <w:tcPr/>
          <w:p>
            <w:pPr>
              <w:pStyle w:val="Compact"/>
              <w:jc w:val="left"/>
            </w:pPr>
            <w:r>
              <w:t xml:space="preserve">40 hrs</w:t>
            </w:r>
          </w:p>
        </w:tc>
        <w:tc>
          <w:tcPr/>
          <w:p>
            <w:pPr>
              <w:pStyle w:val="Compact"/>
              <w:jc w:val="left"/>
            </w:pPr>
            <w:r>
              <w:t xml:space="preserve">SGD 245.00</w:t>
            </w:r>
          </w:p>
        </w:tc>
        <w:tc>
          <w:tcPr/>
          <w:p>
            <w:pPr>
              <w:pStyle w:val="Compact"/>
              <w:jc w:val="left"/>
            </w:pPr>
            <w:r>
              <w:t xml:space="preserve">SGD 9,800.00</w:t>
            </w:r>
          </w:p>
        </w:tc>
        <w:tc>
          <w:tcPr/>
          <w:p>
            <w:pPr>
              <w:pStyle w:val="Compact"/>
              <w:jc w:val="left"/>
            </w:pPr>
            <w:r>
              <w:t xml:space="preserve">Singapore Singapore</w:t>
            </w:r>
          </w:p>
        </w:tc>
      </w:tr>
      <w:tr>
        <w:tc>
          <w:tcPr/>
          <w:p>
            <w:pPr>
              <w:pStyle w:val="Compact"/>
              <w:jc w:val="left"/>
            </w:pPr>
            <w:r>
              <w:t xml:space="preserve">04</w:t>
            </w:r>
          </w:p>
        </w:tc>
        <w:tc>
          <w:tcPr/>
          <w:p>
            <w:pPr>
              <w:pStyle w:val="Compact"/>
              <w:jc w:val="left"/>
            </w:pPr>
            <w:r>
              <w:t xml:space="preserve">Forensic Audit — Targeted investigation of anomalous transactions identified during the preliminary review, conducted by the Auditor with specialized forensic accounting methodologies.</w:t>
            </w:r>
          </w:p>
        </w:tc>
        <w:tc>
          <w:tcPr/>
          <w:p>
            <w:pPr>
              <w:pStyle w:val="Compact"/>
              <w:jc w:val="left"/>
            </w:pPr>
            <w:r>
              <w:t xml:space="preserve">35 hrs</w:t>
            </w:r>
          </w:p>
        </w:tc>
        <w:tc>
          <w:tcPr/>
          <w:p>
            <w:pPr>
              <w:pStyle w:val="Compact"/>
              <w:jc w:val="left"/>
            </w:pPr>
            <w:r>
              <w:t xml:space="preserve">SGD 320.00</w:t>
            </w:r>
          </w:p>
        </w:tc>
        <w:tc>
          <w:tcPr/>
          <w:p>
            <w:pPr>
              <w:pStyle w:val="Compact"/>
              <w:jc w:val="left"/>
            </w:pPr>
            <w:r>
              <w:t xml:space="preserve">SGD 11,200.00</w:t>
            </w:r>
          </w:p>
        </w:tc>
        <w:tc>
          <w:tcPr/>
          <w:p>
            <w:pPr>
              <w:pStyle w:val="Compact"/>
              <w:jc w:val="left"/>
            </w:pPr>
            <w:r>
              <w:t xml:space="preserve">Singapore Singapore</w:t>
            </w:r>
          </w:p>
        </w:tc>
      </w:tr>
      <w:tr>
        <w:tc>
          <w:tcPr/>
          <w:p>
            <w:pPr>
              <w:pStyle w:val="Compact"/>
              <w:jc w:val="left"/>
            </w:pPr>
            <w:r>
              <w:t xml:space="preserve">05</w:t>
            </w:r>
          </w:p>
        </w:tc>
        <w:tc>
          <w:tcPr/>
          <w:p>
            <w:pPr>
              <w:pStyle w:val="Compact"/>
              <w:jc w:val="left"/>
            </w:pPr>
            <w:r>
              <w:t xml:space="preserve">Board of Directors Reporting — Preparation and presentation of the Auditor's final audit report, management letter, and key findings summary to the Board of Directors and Audit Committee.</w:t>
            </w:r>
          </w:p>
        </w:tc>
        <w:tc>
          <w:tcPr/>
          <w:p>
            <w:pPr>
              <w:pStyle w:val="Compact"/>
              <w:jc w:val="left"/>
            </w:pPr>
            <w:r>
              <w:t xml:space="preserve">12 hrs</w:t>
            </w:r>
          </w:p>
        </w:tc>
        <w:tc>
          <w:tcPr/>
          <w:p>
            <w:pPr>
              <w:pStyle w:val="Compact"/>
              <w:jc w:val="left"/>
            </w:pPr>
            <w:r>
              <w:t xml:space="preserve">SGD 310.00</w:t>
            </w:r>
          </w:p>
        </w:tc>
        <w:tc>
          <w:tcPr/>
          <w:p>
            <w:pPr>
              <w:pStyle w:val="Compact"/>
              <w:jc w:val="left"/>
            </w:pPr>
            <w:r>
              <w:t xml:space="preserve">SGD 3,720.00</w:t>
            </w:r>
          </w:p>
        </w:tc>
        <w:tc>
          <w:tcPr/>
          <w:p>
            <w:pPr>
              <w:pStyle w:val="Compact"/>
              <w:jc w:val="left"/>
            </w:pPr>
            <w:r>
              <w:t xml:space="preserve">Singapore Singapore</w:t>
            </w:r>
          </w:p>
        </w:tc>
      </w:tr>
      <w:tr>
        <w:tc>
          <w:tcPr/>
          <w:p>
            <w:pPr>
              <w:pStyle w:val="Compact"/>
              <w:jc w:val="left"/>
            </w:pPr>
            <w:r>
              <w:t xml:space="preserve">06</w:t>
            </w:r>
          </w:p>
        </w:tc>
        <w:tc>
          <w:tcPr/>
          <w:p>
            <w:pPr>
              <w:pStyle w:val="Compact"/>
              <w:jc w:val="left"/>
            </w:pPr>
            <w:r>
              <w:t xml:space="preserve">Regulatory Filing &amp; ACRA Submission — Filing of audited financial statements with ACRA and preparation of statutory returns as required under the Companies Act of Singapore Singapore.</w:t>
            </w:r>
          </w:p>
        </w:tc>
        <w:tc>
          <w:tcPr/>
          <w:p>
            <w:pPr>
              <w:pStyle w:val="Compact"/>
              <w:jc w:val="left"/>
            </w:pPr>
            <w:r>
              <w:t xml:space="preserve">8 hrs</w:t>
            </w:r>
          </w:p>
        </w:tc>
        <w:tc>
          <w:tcPr/>
          <w:p>
            <w:pPr>
              <w:pStyle w:val="Compact"/>
              <w:jc w:val="left"/>
            </w:pPr>
            <w:r>
              <w:t xml:space="preserve">SGD 245.00</w:t>
            </w:r>
          </w:p>
        </w:tc>
        <w:tc>
          <w:tcPr/>
          <w:p>
            <w:pPr>
              <w:pStyle w:val="Compact"/>
              <w:jc w:val="left"/>
            </w:pPr>
            <w:r>
              <w:t xml:space="preserve">SGD 1,960.00</w:t>
            </w:r>
          </w:p>
        </w:tc>
        <w:tc>
          <w:tcPr/>
          <w:p>
            <w:pPr>
              <w:pStyle w:val="Compact"/>
              <w:jc w:val="left"/>
            </w:pPr>
            <w:r>
              <w:t xml:space="preserve">Singapore Singapore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78,105.00</w:t>
            </w:r>
          </w:p>
        </w:tc>
      </w:tr>
      <w:tr>
        <w:tc>
          <w:tcPr/>
          <w:p>
            <w:pPr>
              <w:pStyle w:val="Compact"/>
              <w:jc w:val="left"/>
            </w:pPr>
            <w:r>
              <w:t xml:space="preserve">GST @ 9% (Singapore Singapore)</w:t>
            </w:r>
          </w:p>
        </w:tc>
        <w:tc>
          <w:tcPr/>
          <w:p>
            <w:pPr>
              <w:pStyle w:val="Compact"/>
              <w:jc w:val="right"/>
            </w:pPr>
            <w:r>
              <w:t xml:space="preserve">SGD 7,029.45</w:t>
            </w:r>
          </w:p>
        </w:tc>
      </w:tr>
      <w:tr>
        <w:tc>
          <w:tcPr/>
          <w:p>
            <w:pPr>
              <w:pStyle w:val="Compact"/>
              <w:jc w:val="left"/>
            </w:pPr>
            <w:r>
              <w:t xml:space="preserve">Disbursements &amp; Travel (Singapore Singapore)</w:t>
            </w:r>
          </w:p>
        </w:tc>
        <w:tc>
          <w:tcPr/>
          <w:p>
            <w:pPr>
              <w:pStyle w:val="Compact"/>
              <w:jc w:val="right"/>
            </w:pPr>
            <w:r>
              <w:t xml:space="preserve">SGD 1,340.00</w:t>
            </w:r>
          </w:p>
        </w:tc>
      </w:tr>
      <w:tr>
        <w:tc>
          <w:tcPr/>
          <w:p>
            <w:pPr>
              <w:pStyle w:val="Compact"/>
              <w:jc w:val="left"/>
            </w:pPr>
            <w:r>
              <w:rPr>
                <w:bCs/>
                <w:b/>
              </w:rPr>
              <w:t xml:space="preserve">Grand Total Due</w:t>
            </w:r>
          </w:p>
        </w:tc>
        <w:tc>
          <w:tcPr/>
          <w:p>
            <w:pPr>
              <w:pStyle w:val="Compact"/>
              <w:jc w:val="right"/>
            </w:pPr>
            <w:r>
              <w:rPr>
                <w:bCs/>
                <w:b/>
              </w:rPr>
              <w:t xml:space="preserve">SGD 86,474.45</w:t>
            </w:r>
          </w:p>
        </w:tc>
      </w:tr>
    </w:tbl>
    <w:bookmarkStart w:id="23" w:name="invoice-terms-conditions"/>
    <w:p>
      <w:pPr>
        <w:pStyle w:val="Heading3"/>
      </w:pPr>
      <w:r>
        <w:t xml:space="preserve">Invoice Terms &amp; Conditions</w:t>
      </w:r>
    </w:p>
    <w:p>
      <w:pPr>
        <w:numPr>
          <w:ilvl w:val="0"/>
          <w:numId w:val="1001"/>
        </w:numPr>
        <w:pStyle w:val="Compact"/>
      </w:pPr>
      <w:r>
        <w:rPr>
          <w:bCs/>
          <w:b/>
        </w:rPr>
        <w:t xml:space="preserve">Payment Terms:</w:t>
      </w:r>
      <w:r>
        <w:t xml:space="preserve"> </w:t>
      </w:r>
      <w:r>
        <w:t xml:space="preserve">This Invoice is payable within thirty (30) calendar days from the Invoice date via bank transfer to the Auditor's designated account. Late payments shall attract interest at 2% per month as stipulated under the engagement agreement.</w:t>
      </w:r>
    </w:p>
    <w:p>
      <w:pPr>
        <w:numPr>
          <w:ilvl w:val="0"/>
          <w:numId w:val="1001"/>
        </w:numPr>
        <w:pStyle w:val="Compact"/>
      </w:pPr>
      <w:r>
        <w:rPr>
          <w:bCs/>
          <w:b/>
        </w:rPr>
        <w:t xml:space="preserve">Payment Method:</w:t>
      </w:r>
      <w:r>
        <w:t xml:space="preserve"> </w:t>
      </w:r>
      <w:r>
        <w:t xml:space="preserve">Bank transfer to Meridian Audit &amp; Assurance Pte. Ltd., DBS Bank, Account No. 012-3456-789, SWIFT: DBSSSGSG, Singapore Singapore. Please reference Invoice No. INV-SGS-2025-04871 in all correspondence.</w:t>
      </w:r>
    </w:p>
    <w:p>
      <w:pPr>
        <w:numPr>
          <w:ilvl w:val="0"/>
          <w:numId w:val="1001"/>
        </w:numPr>
        <w:pStyle w:val="Compact"/>
      </w:pPr>
      <w:r>
        <w:rPr>
          <w:bCs/>
          <w:b/>
        </w:rPr>
        <w:t xml:space="preserve">Disputes:</w:t>
      </w:r>
      <w:r>
        <w:t xml:space="preserve"> </w:t>
      </w:r>
      <w:r>
        <w:t xml:space="preserve">Any discrepancies regarding this Invoice must be raised in writing to the Auditor within fourteen (14) days of receipt. The Auditor reserves the right to suspend ongoing services until all disputed amounts are resolved.</w:t>
      </w:r>
    </w:p>
    <w:p>
      <w:pPr>
        <w:numPr>
          <w:ilvl w:val="0"/>
          <w:numId w:val="1001"/>
        </w:numPr>
        <w:pStyle w:val="Compact"/>
      </w:pPr>
      <w:r>
        <w:rPr>
          <w:bCs/>
          <w:b/>
        </w:rPr>
        <w:t xml:space="preserve">Confidentiality:</w:t>
      </w:r>
      <w:r>
        <w:t xml:space="preserve"> </w:t>
      </w:r>
      <w:r>
        <w:t xml:space="preserve">All information contained in this Invoice and the associated audit workpapers remain strictly confidential under the terms of the Non-Disclosure Agreement executed in Singapore Singapore.</w:t>
      </w:r>
    </w:p>
    <w:p>
      <w:pPr>
        <w:numPr>
          <w:ilvl w:val="0"/>
          <w:numId w:val="1001"/>
        </w:numPr>
        <w:pStyle w:val="Compact"/>
      </w:pPr>
      <w:r>
        <w:rPr>
          <w:bCs/>
          <w:b/>
        </w:rPr>
        <w:t xml:space="preserve">GST Compliance:</w:t>
      </w:r>
      <w:r>
        <w:t xml:space="preserve"> </w:t>
      </w:r>
      <w:r>
        <w:t xml:space="preserve">GST is charged at the prevailing rate of 9% in Singapore Singapore as mandated by the Inland Revenue Authority of Singapore (IRAS). This Invoice is issued in accordance with GST regulations.</w:t>
      </w:r>
    </w:p>
    <w:p>
      <w:pPr>
        <w:numPr>
          <w:ilvl w:val="0"/>
          <w:numId w:val="1001"/>
        </w:numPr>
        <w:pStyle w:val="Compact"/>
      </w:pPr>
      <w:r>
        <w:rPr>
          <w:bCs/>
          <w:b/>
        </w:rPr>
        <w:t xml:space="preserve">Governing Law:</w:t>
      </w:r>
      <w:r>
        <w:t xml:space="preserve"> </w:t>
      </w:r>
      <w:r>
        <w:t xml:space="preserve">This Invoice and the underlying engagement are governed by the laws of Singapore Singapore. Any disputes shall be subject to the exclusive jurisdiction of the courts of Singapore Singapore.</w:t>
      </w:r>
    </w:p>
    <w:p>
      <w:pPr>
        <w:numPr>
          <w:ilvl w:val="0"/>
          <w:numId w:val="1001"/>
        </w:numPr>
        <w:pStyle w:val="Compact"/>
      </w:pPr>
      <w:r>
        <w:rPr>
          <w:bCs/>
          <w:b/>
        </w:rPr>
        <w:t xml:space="preserve">Invoice Validity:</w:t>
      </w:r>
      <w:r>
        <w:t xml:space="preserve"> </w:t>
      </w:r>
      <w:r>
        <w:t xml:space="preserve">This Invoice remains valid for ninety (90) days from the date of issue. The Auditor reserves the right to reissue or amend this Invoice in the event of clerical errors or scope adjustments approved in writing by both parties.</w:t>
      </w:r>
    </w:p>
    <w:bookmarkEnd w:id="23"/>
    <w:p>
      <w:pPr>
        <w:pStyle w:val="FirstParagraph"/>
      </w:pPr>
      <w:r>
        <w:rPr>
          <w:bCs/>
          <w:b/>
        </w:rPr>
        <w:t xml:space="preserve">Meridian Audit &amp; Assurance Pte. Ltd.</w:t>
      </w:r>
      <w:r>
        <w:t xml:space="preserve"> </w:t>
      </w:r>
      <w:r>
        <w:t xml:space="preserve">— Registered Auditor in Singapore Singapore</w:t>
      </w:r>
    </w:p>
    <w:p>
      <w:pPr>
        <w:pStyle w:val="BodyText"/>
      </w:pPr>
      <w:r>
        <w:t xml:space="preserve">UEN: 2019334567 | GST Reg. No: G919334567A | ACRA Registered</w:t>
      </w:r>
    </w:p>
    <w:p>
      <w:pPr>
        <w:pStyle w:val="BodyText"/>
      </w:pPr>
      <w:r>
        <w:t xml:space="preserve">This Invoice was generated electronically and is valid without a physical signature. For queries, contact the Auditor's billing department at billing@meridianaudit.sg.</w:t>
      </w:r>
    </w:p>
    <w:p>
      <w:pPr>
        <w:pStyle w:val="BodyText"/>
      </w:pPr>
      <w:r>
        <w:t xml:space="preserve">© 2025 Meridian Audit &amp; Assurance Pte. Ltd. All rights reserved. Singapore Singapore.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Singapore Singapore</dc:title>
  <dc:creator/>
  <dc:language>en</dc:language>
  <cp:keywords/>
  <dcterms:created xsi:type="dcterms:W3CDTF">2026-10-10T03:39:39Z</dcterms:created>
  <dcterms:modified xsi:type="dcterms:W3CDTF">2026-10-10T03:39:39Z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