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ürich-audit-advisory-ag"/>
    <w:p>
      <w:pPr>
        <w:pStyle w:val="Heading1"/>
      </w:pPr>
      <w:r>
        <w:t xml:space="preserve">Zürich Audit &amp; Advisory AG</w:t>
      </w:r>
    </w:p>
    <w:p>
      <w:pPr>
        <w:pStyle w:val="FirstParagraph"/>
      </w:pPr>
      <w:r>
        <w:t xml:space="preserve">Bahnhofstrasse 142, 8001 Zürich, Switzerland</w:t>
      </w:r>
    </w:p>
    <w:p>
      <w:pPr>
        <w:pStyle w:val="BodyText"/>
      </w:pPr>
      <w:r>
        <w:t xml:space="preserve">Phone: +41 44 555 0192 | Email: billing@zurichaudit.ch</w:t>
      </w:r>
    </w:p>
    <w:p>
      <w:pPr>
        <w:pStyle w:val="BodyText"/>
      </w:pPr>
      <w:r>
        <w:t xml:space="preserve">VAT No. (MWST-Nr.): CHE-112.345.678 IVA</w:t>
      </w:r>
    </w:p>
    <w:p>
      <w:pPr>
        <w:pStyle w:val="BodyText"/>
      </w:pPr>
      <w:r>
        <w:t xml:space="preserve">Swiss Business Register: CHE-112.345.678</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ZA-2025-04871</w:t>
      </w:r>
    </w:p>
    <w:p>
      <w:pPr>
        <w:pStyle w:val="BodyText"/>
      </w:pPr>
      <w:r>
        <w:t xml:space="preserve">Issue Date: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t xml:space="preserve">Company:</w:t>
      </w:r>
      <w:r>
        <w:t xml:space="preserve"> </w:t>
      </w:r>
      <w:r>
        <w:t xml:space="preserve">Helvetia Industrial Holdings AG</w:t>
      </w:r>
    </w:p>
    <w:p>
      <w:pPr>
        <w:pStyle w:val="BodyText"/>
      </w:pPr>
      <w:r>
        <w:t xml:space="preserve">Address:</w:t>
      </w:r>
      <w:r>
        <w:t xml:space="preserve"> </w:t>
      </w:r>
      <w:r>
        <w:t xml:space="preserve">Seefeldstrasse 256, 8008 Zürich, Switzerland</w:t>
      </w:r>
    </w:p>
    <w:p>
      <w:pPr>
        <w:pStyle w:val="BodyText"/>
      </w:pPr>
      <w:r>
        <w:t xml:space="preserve">Contact:</w:t>
      </w:r>
      <w:r>
        <w:t xml:space="preserve"> </w:t>
      </w:r>
      <w:r>
        <w:t xml:space="preserve">Dr. Markus Keller, Chief Financial Officer</w:t>
      </w:r>
    </w:p>
    <w:p>
      <w:pPr>
        <w:pStyle w:val="BodyText"/>
      </w:pPr>
      <w:r>
        <w:t xml:space="preserve">Email:</w:t>
      </w:r>
      <w:r>
        <w:t xml:space="preserve"> </w:t>
      </w:r>
      <w:r>
        <w:t xml:space="preserve">m.keller@helvetia-industrial.ch</w:t>
      </w:r>
    </w:p>
    <w:p>
      <w:pPr>
        <w:pStyle w:val="BodyText"/>
      </w:pPr>
      <w:r>
        <w:t xml:space="preserve">Client Reference:</w:t>
      </w:r>
      <w:r>
        <w:t xml:space="preserve"> </w:t>
      </w:r>
      <w:r>
        <w:t xml:space="preserve">HIH-2025-AUD-003</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01 March 2025 – 31 May 2025</w:t>
      </w:r>
    </w:p>
    <w:p>
      <w:pPr>
        <w:pStyle w:val="BodyText"/>
      </w:pPr>
      <w:r>
        <w:t xml:space="preserve">Engagement Type:</w:t>
      </w:r>
      <w:r>
        <w:t xml:space="preserve"> </w:t>
      </w:r>
      <w:r>
        <w:t xml:space="preserve">Statutory Financial Audit</w:t>
      </w:r>
    </w:p>
    <w:p>
      <w:pPr>
        <w:pStyle w:val="BodyText"/>
      </w:pPr>
      <w:r>
        <w:t xml:space="preserve">Lead Auditor:</w:t>
      </w:r>
      <w:r>
        <w:t xml:space="preserve"> </w:t>
      </w:r>
      <w:r>
        <w:t xml:space="preserve">Dr. Anna Berger, Licensed Auditor (Revisionsstelle)</w:t>
      </w:r>
    </w:p>
    <w:p>
      <w:pPr>
        <w:pStyle w:val="BodyText"/>
      </w:pPr>
      <w:r>
        <w:t xml:space="preserve">Regulatory Framework:</w:t>
      </w:r>
      <w:r>
        <w:t xml:space="preserve"> </w:t>
      </w:r>
      <w:r>
        <w:t xml:space="preserve">Swiss Code of Obligations (OR), Art. 727–734</w:t>
      </w:r>
    </w:p>
    <w:p>
      <w:pPr>
        <w:pStyle w:val="BodyText"/>
      </w:pPr>
      <w:r>
        <w:t xml:space="preserve">Currency:</w:t>
      </w:r>
      <w:r>
        <w:t xml:space="preserve"> </w:t>
      </w:r>
      <w:r>
        <w:t xml:space="preserve">Swiss Franc (CHF)</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Services</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c>
          <w:tcPr/>
          <w:p>
            <w:pPr>
              <w:pStyle w:val="Compact"/>
              <w:jc w:val="left"/>
            </w:pPr>
            <w:r>
              <w:t xml:space="preserve">Date</w:t>
            </w:r>
          </w:p>
        </w:tc>
      </w:tr>
      <w:tr>
        <w:tc>
          <w:tcPr/>
          <w:p>
            <w:pPr>
              <w:pStyle w:val="Compact"/>
              <w:jc w:val="left"/>
            </w:pPr>
            <w:r>
              <w:t xml:space="preserve">01</w:t>
            </w:r>
          </w:p>
        </w:tc>
        <w:tc>
          <w:tcPr/>
          <w:p>
            <w:pPr>
              <w:pStyle w:val="Compact"/>
              <w:jc w:val="left"/>
            </w:pPr>
            <w:r>
              <w:t xml:space="preserve">Planning and risk assessment for the statutory audit of Helvetia Industrial Holdings AG. Preparation of the audit programme in accordance with Swiss Auditing Standards (SA) and International Standards on Auditing (ISA) as adopted in Switzerland Zurich.</w:t>
            </w:r>
          </w:p>
        </w:tc>
        <w:tc>
          <w:tcPr/>
          <w:p>
            <w:pPr>
              <w:pStyle w:val="Compact"/>
              <w:jc w:val="left"/>
            </w:pPr>
            <w:r>
              <w:t xml:space="preserve">24.0</w:t>
            </w:r>
          </w:p>
        </w:tc>
        <w:tc>
          <w:tcPr/>
          <w:p>
            <w:pPr>
              <w:pStyle w:val="Compact"/>
              <w:jc w:val="left"/>
            </w:pPr>
            <w:r>
              <w:t xml:space="preserve">285.00</w:t>
            </w:r>
          </w:p>
        </w:tc>
        <w:tc>
          <w:tcPr/>
          <w:p>
            <w:pPr>
              <w:pStyle w:val="Compact"/>
              <w:jc w:val="left"/>
            </w:pPr>
            <w:r>
              <w:t xml:space="preserve">6,840.00</w:t>
            </w:r>
          </w:p>
        </w:tc>
        <w:tc>
          <w:tcPr/>
          <w:p>
            <w:pPr>
              <w:pStyle w:val="Compact"/>
              <w:jc w:val="left"/>
            </w:pPr>
            <w:r>
              <w:t xml:space="preserve">01–07 Mar 2025</w:t>
            </w:r>
          </w:p>
        </w:tc>
      </w:tr>
      <w:tr>
        <w:tc>
          <w:tcPr/>
          <w:p>
            <w:pPr>
              <w:pStyle w:val="Compact"/>
              <w:jc w:val="left"/>
            </w:pPr>
            <w:r>
              <w:t xml:space="preserve">02</w:t>
            </w:r>
          </w:p>
        </w:tc>
        <w:tc>
          <w:tcPr/>
          <w:p>
            <w:pPr>
              <w:pStyle w:val="Compact"/>
              <w:jc w:val="left"/>
            </w:pPr>
            <w:r>
              <w:t xml:space="preserve">Substantive testing of financial statements including verification of revenue recognition, inventory valuation at the Zürich manufacturing facility, and reconciliation of intercompany transactions. Performed by the assigned Auditor team under the supervision of the Lead Auditor.</w:t>
            </w:r>
          </w:p>
        </w:tc>
        <w:tc>
          <w:tcPr/>
          <w:p>
            <w:pPr>
              <w:pStyle w:val="Compact"/>
              <w:jc w:val="left"/>
            </w:pPr>
            <w:r>
              <w:t xml:space="preserve">68.0</w:t>
            </w:r>
          </w:p>
        </w:tc>
        <w:tc>
          <w:tcPr/>
          <w:p>
            <w:pPr>
              <w:pStyle w:val="Compact"/>
              <w:jc w:val="left"/>
            </w:pPr>
            <w:r>
              <w:t xml:space="preserve">285.00</w:t>
            </w:r>
          </w:p>
        </w:tc>
        <w:tc>
          <w:tcPr/>
          <w:p>
            <w:pPr>
              <w:pStyle w:val="Compact"/>
              <w:jc w:val="left"/>
            </w:pPr>
            <w:r>
              <w:t xml:space="preserve">19,380.00</w:t>
            </w:r>
          </w:p>
        </w:tc>
        <w:tc>
          <w:tcPr/>
          <w:p>
            <w:pPr>
              <w:pStyle w:val="Compact"/>
              <w:jc w:val="left"/>
            </w:pPr>
            <w:r>
              <w:t xml:space="preserve">10 Mar – 28 Apr 2025</w:t>
            </w:r>
          </w:p>
        </w:tc>
      </w:tr>
      <w:tr>
        <w:tc>
          <w:tcPr/>
          <w:p>
            <w:pPr>
              <w:pStyle w:val="Compact"/>
              <w:jc w:val="left"/>
            </w:pPr>
            <w:r>
              <w:t xml:space="preserve">03</w:t>
            </w:r>
          </w:p>
        </w:tc>
        <w:tc>
          <w:tcPr/>
          <w:p>
            <w:pPr>
              <w:pStyle w:val="Compact"/>
              <w:jc w:val="left"/>
            </w:pPr>
            <w:r>
              <w:t xml:space="preserve">Internal control review and compliance assessment. Evaluation of the company's internal audit function, segregation of duties, and adherence to Swiss Corporate Governance Code. The Auditor documented findings and issued preliminary management letters.</w:t>
            </w:r>
          </w:p>
        </w:tc>
        <w:tc>
          <w:tcPr/>
          <w:p>
            <w:pPr>
              <w:pStyle w:val="Compact"/>
              <w:jc w:val="left"/>
            </w:pPr>
            <w:r>
              <w:t xml:space="preserve">32.0</w:t>
            </w:r>
          </w:p>
        </w:tc>
        <w:tc>
          <w:tcPr/>
          <w:p>
            <w:pPr>
              <w:pStyle w:val="Compact"/>
              <w:jc w:val="left"/>
            </w:pPr>
            <w:r>
              <w:t xml:space="preserve">310.00</w:t>
            </w:r>
          </w:p>
        </w:tc>
        <w:tc>
          <w:tcPr/>
          <w:p>
            <w:pPr>
              <w:pStyle w:val="Compact"/>
              <w:jc w:val="left"/>
            </w:pPr>
            <w:r>
              <w:t xml:space="preserve">9,920.00</w:t>
            </w:r>
          </w:p>
        </w:tc>
        <w:tc>
          <w:tcPr/>
          <w:p>
            <w:pPr>
              <w:pStyle w:val="Compact"/>
              <w:jc w:val="left"/>
            </w:pPr>
            <w:r>
              <w:t xml:space="preserve">05–19 Apr 2025</w:t>
            </w:r>
          </w:p>
        </w:tc>
      </w:tr>
      <w:tr>
        <w:tc>
          <w:tcPr/>
          <w:p>
            <w:pPr>
              <w:pStyle w:val="Compact"/>
              <w:jc w:val="left"/>
            </w:pPr>
            <w:r>
              <w:t xml:space="preserve">04</w:t>
            </w:r>
          </w:p>
        </w:tc>
        <w:tc>
          <w:tcPr/>
          <w:p>
            <w:pPr>
              <w:pStyle w:val="Compact"/>
              <w:jc w:val="left"/>
            </w:pPr>
            <w:r>
              <w:t xml:space="preserve">Confirmation procedures: Bank confirmations with UBS AG and Credit Suisse (now UBS) in Switzerland Zurich, legal confirmations with external counsel, and trade debtor/creditor confirmations. The Auditor coordinated all external verification requests.</w:t>
            </w:r>
          </w:p>
        </w:tc>
        <w:tc>
          <w:tcPr/>
          <w:p>
            <w:pPr>
              <w:pStyle w:val="Compact"/>
              <w:jc w:val="left"/>
            </w:pPr>
            <w:r>
              <w:t xml:space="preserve">18.0</w:t>
            </w:r>
          </w:p>
        </w:tc>
        <w:tc>
          <w:tcPr/>
          <w:p>
            <w:pPr>
              <w:pStyle w:val="Compact"/>
              <w:jc w:val="left"/>
            </w:pPr>
            <w:r>
              <w:t xml:space="preserve">285.00</w:t>
            </w:r>
          </w:p>
        </w:tc>
        <w:tc>
          <w:tcPr/>
          <w:p>
            <w:pPr>
              <w:pStyle w:val="Compact"/>
              <w:jc w:val="left"/>
            </w:pPr>
            <w:r>
              <w:t xml:space="preserve">5,130.00</w:t>
            </w:r>
          </w:p>
        </w:tc>
        <w:tc>
          <w:tcPr/>
          <w:p>
            <w:pPr>
              <w:pStyle w:val="Compact"/>
              <w:jc w:val="left"/>
            </w:pPr>
            <w:r>
              <w:t xml:space="preserve">22 Apr – 09 May 2025</w:t>
            </w:r>
          </w:p>
        </w:tc>
      </w:tr>
      <w:tr>
        <w:tc>
          <w:tcPr/>
          <w:p>
            <w:pPr>
              <w:pStyle w:val="Compact"/>
              <w:jc w:val="left"/>
            </w:pPr>
            <w:r>
              <w:t xml:space="preserve">05</w:t>
            </w:r>
          </w:p>
        </w:tc>
        <w:tc>
          <w:tcPr/>
          <w:p>
            <w:pPr>
              <w:pStyle w:val="Compact"/>
              <w:jc w:val="left"/>
            </w:pPr>
            <w:r>
              <w:t xml:space="preserve">Final audit procedures, preparation of the Auditor's report (Revisionsbericht), and issuance of the unqualified opinion. Presentation of findings to the Board of Directors and the General Meeting of Shareholders in Zürich. Filing of the Auditor's report with the Swiss Federal Office of Justice.</w:t>
            </w:r>
          </w:p>
        </w:tc>
        <w:tc>
          <w:tcPr/>
          <w:p>
            <w:pPr>
              <w:pStyle w:val="Compact"/>
              <w:jc w:val="left"/>
            </w:pPr>
            <w:r>
              <w:t xml:space="preserve">22.0</w:t>
            </w:r>
          </w:p>
        </w:tc>
        <w:tc>
          <w:tcPr/>
          <w:p>
            <w:pPr>
              <w:pStyle w:val="Compact"/>
              <w:jc w:val="left"/>
            </w:pPr>
            <w:r>
              <w:t xml:space="preserve">340.00</w:t>
            </w:r>
          </w:p>
        </w:tc>
        <w:tc>
          <w:tcPr/>
          <w:p>
            <w:pPr>
              <w:pStyle w:val="Compact"/>
              <w:jc w:val="left"/>
            </w:pPr>
            <w:r>
              <w:t xml:space="preserve">7,480.00</w:t>
            </w:r>
          </w:p>
        </w:tc>
        <w:tc>
          <w:tcPr/>
          <w:p>
            <w:pPr>
              <w:pStyle w:val="Compact"/>
              <w:jc w:val="left"/>
            </w:pPr>
            <w:r>
              <w:t xml:space="preserve">12–31 May 2025</w:t>
            </w:r>
          </w:p>
        </w:tc>
      </w:tr>
      <w:tr>
        <w:tc>
          <w:tcPr/>
          <w:p>
            <w:pPr>
              <w:pStyle w:val="Compact"/>
              <w:jc w:val="left"/>
            </w:pPr>
            <w:r>
              <w:t xml:space="preserve">06</w:t>
            </w:r>
          </w:p>
        </w:tc>
        <w:tc>
          <w:tcPr/>
          <w:p>
            <w:pPr>
              <w:pStyle w:val="Compact"/>
              <w:jc w:val="left"/>
            </w:pPr>
            <w:r>
              <w:t xml:space="preserve">Reimbursement of out-of-pocket expenses: travel within the Zürich metropolitan area, secure document storage, and professional liability insurance allocation for the Auditor engagement.</w:t>
            </w:r>
          </w:p>
        </w:tc>
        <w:tc>
          <w:tcPr/>
          <w:p>
            <w:pPr>
              <w:pStyle w:val="Compact"/>
              <w:jc w:val="left"/>
            </w:pPr>
            <w:r>
              <w:t xml:space="preserve">—</w:t>
            </w:r>
          </w:p>
        </w:tc>
        <w:tc>
          <w:tcPr/>
          <w:p>
            <w:pPr>
              <w:pStyle w:val="Compact"/>
              <w:jc w:val="left"/>
            </w:pPr>
            <w:r>
              <w:t xml:space="preserve">—</w:t>
            </w:r>
          </w:p>
        </w:tc>
        <w:tc>
          <w:tcPr/>
          <w:p>
            <w:pPr>
              <w:pStyle w:val="Compact"/>
              <w:jc w:val="left"/>
            </w:pPr>
            <w:r>
              <w:t xml:space="preserve">1,245.00</w:t>
            </w:r>
          </w:p>
        </w:tc>
        <w:tc>
          <w:tcPr/>
          <w:p>
            <w:pPr>
              <w:pStyle w:val="Compact"/>
              <w:jc w:val="left"/>
            </w:pPr>
            <w:r>
              <w:t xml:space="preserve">Mar–May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48,750.00</w:t>
            </w:r>
          </w:p>
        </w:tc>
      </w:tr>
      <w:tr>
        <w:tc>
          <w:tcPr/>
          <w:p>
            <w:pPr>
              <w:pStyle w:val="Compact"/>
              <w:jc w:val="left"/>
            </w:pPr>
            <w:r>
              <w:t xml:space="preserve">Subtotal (Expenses)</w:t>
            </w:r>
          </w:p>
        </w:tc>
        <w:tc>
          <w:tcPr/>
          <w:p>
            <w:pPr>
              <w:pStyle w:val="Compact"/>
              <w:jc w:val="left"/>
            </w:pPr>
            <w:r>
              <w:t xml:space="preserve">1,245.00</w:t>
            </w:r>
          </w:p>
        </w:tc>
      </w:tr>
      <w:tr>
        <w:tc>
          <w:tcPr/>
          <w:p>
            <w:pPr>
              <w:pStyle w:val="Compact"/>
              <w:jc w:val="left"/>
            </w:pPr>
            <w:r>
              <w:t xml:space="preserve">VAT / MWST (7.7%)</w:t>
            </w:r>
          </w:p>
        </w:tc>
        <w:tc>
          <w:tcPr/>
          <w:p>
            <w:pPr>
              <w:pStyle w:val="Compact"/>
              <w:jc w:val="left"/>
            </w:pPr>
            <w:r>
              <w:t xml:space="preserve">3,945.12</w:t>
            </w:r>
          </w:p>
        </w:tc>
      </w:tr>
      <w:tr>
        <w:tc>
          <w:tcPr/>
          <w:p>
            <w:pPr>
              <w:pStyle w:val="Compact"/>
              <w:jc w:val="left"/>
            </w:pPr>
            <w:r>
              <w:t xml:space="preserve">Total Amount Due (CHF)</w:t>
            </w:r>
          </w:p>
        </w:tc>
        <w:tc>
          <w:tcPr/>
          <w:p>
            <w:pPr>
              <w:pStyle w:val="Compact"/>
              <w:jc w:val="left"/>
            </w:pPr>
            <w:r>
              <w:t xml:space="preserve">53,940.12</w:t>
            </w:r>
          </w:p>
        </w:tc>
      </w:tr>
    </w:tbl>
    <w:bookmarkStart w:id="24" w:name="payment-terms-important-notes"/>
    <w:p>
      <w:pPr>
        <w:pStyle w:val="Heading3"/>
      </w:pPr>
      <w:r>
        <w:t xml:space="preserve">Payment Terms &amp; Important Notes</w:t>
      </w:r>
    </w:p>
    <w:p>
      <w:pPr>
        <w:pStyle w:val="FirstParagraph"/>
      </w:pPr>
      <w:r>
        <w:t xml:space="preserve">This Invoice is issued in accordance with the engagement letter dated 20 February 2025 between Zürich Audit &amp; Advisory AG (the Auditor) and Helvetia Industrial Holdings AG (the Client). All services were performed in Switzerland Zurich and are governed by Swiss law.</w:t>
      </w:r>
    </w:p>
    <w:p>
      <w:pPr>
        <w:numPr>
          <w:ilvl w:val="0"/>
          <w:numId w:val="1001"/>
        </w:numPr>
        <w:pStyle w:val="Compact"/>
      </w:pPr>
      <w:r>
        <w:rPr>
          <w:bCs/>
          <w:b/>
        </w:rPr>
        <w:t xml:space="preserve">Payment Due:</w:t>
      </w:r>
      <w:r>
        <w:t xml:space="preserve"> </w:t>
      </w:r>
      <w:r>
        <w:t xml:space="preserve">Full payment of CHF 53,940.12 is due within 30 days of the issue date, i.e., by 15 July 2025. Payment is to be made via bank transfer to the account specified below.</w:t>
      </w:r>
    </w:p>
    <w:p>
      <w:pPr>
        <w:numPr>
          <w:ilvl w:val="0"/>
          <w:numId w:val="1001"/>
        </w:numPr>
        <w:pStyle w:val="Compact"/>
      </w:pPr>
      <w:r>
        <w:rPr>
          <w:bCs/>
          <w:b/>
        </w:rPr>
        <w:t xml:space="preserve">Bank Details:</w:t>
      </w:r>
      <w:r>
        <w:t xml:space="preserve"> </w:t>
      </w:r>
      <w:r>
        <w:t xml:space="preserve">Zürich Audit &amp; Advisory AG, UBS AG, Bahnhofstrasse 1, 8001 Zürich, Switzerland. IBAN: CH93 0076 2011 6238 5295 7. BIC/SWIFT: UBSW CHZH80A.</w:t>
      </w:r>
    </w:p>
    <w:p>
      <w:pPr>
        <w:numPr>
          <w:ilvl w:val="0"/>
          <w:numId w:val="1001"/>
        </w:numPr>
        <w:pStyle w:val="Compact"/>
      </w:pPr>
      <w:r>
        <w:rPr>
          <w:bCs/>
          <w:b/>
        </w:rPr>
        <w:t xml:space="preserve">Late Payment:</w:t>
      </w:r>
      <w:r>
        <w:t xml:space="preserve"> </w:t>
      </w:r>
      <w:r>
        <w:t xml:space="preserve">In the event of non-payment by the due date, interest at the statutory rate of 5% per annum (Art. 104 of the Swiss Code of Obligations) shall accrue from the due date until full settlement.</w:t>
      </w:r>
    </w:p>
    <w:p>
      <w:pPr>
        <w:numPr>
          <w:ilvl w:val="0"/>
          <w:numId w:val="1001"/>
        </w:numPr>
        <w:pStyle w:val="Compact"/>
      </w:pPr>
      <w:r>
        <w:rPr>
          <w:bCs/>
          <w:b/>
        </w:rPr>
        <w:t xml:space="preserve">Disputes:</w:t>
      </w:r>
      <w:r>
        <w:t xml:space="preserve"> </w:t>
      </w:r>
      <w:r>
        <w:t xml:space="preserve">Any dispute arising from this Invoice or the underlying Auditor engagement shall be resolved by the competent courts in Zürich, Switzerland. The parties agree to the exclusive jurisdiction of the courts of the Canton of Zürich.</w:t>
      </w:r>
    </w:p>
    <w:p>
      <w:pPr>
        <w:numPr>
          <w:ilvl w:val="0"/>
          <w:numId w:val="1001"/>
        </w:numPr>
        <w:pStyle w:val="Compact"/>
      </w:pPr>
      <w:r>
        <w:rPr>
          <w:bCs/>
          <w:b/>
        </w:rPr>
        <w:t xml:space="preserve">Confidentiality:</w:t>
      </w:r>
      <w:r>
        <w:t xml:space="preserve"> </w:t>
      </w:r>
      <w:r>
        <w:t xml:space="preserve">All information contained in this Invoice and the associated audit work papers remain strictly confidential in accordance with the Auditor's professional obligations under the Swiss Federal Act on the Supervision of Audit Firms (Revisionsaufsichtsgesetz, RAG) and the professional code of ethics of the Swiss Association of Auditors (SAA).</w:t>
      </w:r>
    </w:p>
    <w:p>
      <w:pPr>
        <w:numPr>
          <w:ilvl w:val="0"/>
          <w:numId w:val="1001"/>
        </w:numPr>
        <w:pStyle w:val="Compact"/>
      </w:pPr>
      <w:r>
        <w:rPr>
          <w:bCs/>
          <w:b/>
        </w:rPr>
        <w:t xml:space="preserve">Regulatory Compliance:</w:t>
      </w:r>
      <w:r>
        <w:t xml:space="preserve"> </w:t>
      </w:r>
      <w:r>
        <w:t xml:space="preserve">This audit engagement was conducted in full compliance with the Swiss Federal Act on the Supervision of Audit Firms (RAG), the Swiss Code of Obligations (OR), and the applicable Swiss Auditing Standards. The Auditor is registered with the Federal Audit Oversight Authority (Revisionsaufsichtsstelle, RAA) in Switzerland.</w:t>
      </w:r>
    </w:p>
    <w:p>
      <w:pPr>
        <w:pStyle w:val="FirstParagraph"/>
      </w:pPr>
      <w:r>
        <w:t xml:space="preserve">Please retain this Invoice for your corporate records. In accordance with Swiss commercial law (OR Art. 957–964), this document constitutes a valid commercial record of the Auditor's professional services rendered in Switzerland Zurich.</w:t>
      </w:r>
    </w:p>
    <w:bookmarkEnd w:id="24"/>
    <w:p>
      <w:pPr>
        <w:pStyle w:val="BodyText"/>
      </w:pPr>
      <w:r>
        <w:rPr>
          <w:bCs/>
          <w:b/>
        </w:rPr>
        <w:t xml:space="preserve">Zürich Audit &amp; Advisory AG</w:t>
      </w:r>
      <w:r>
        <w:t xml:space="preserve"> </w:t>
      </w:r>
      <w:r>
        <w:t xml:space="preserve">| Bahnhofstrasse 142, 8001 Zürich, Switzerland</w:t>
      </w:r>
    </w:p>
    <w:p>
      <w:pPr>
        <w:pStyle w:val="BodyText"/>
      </w:pPr>
      <w:r>
        <w:t xml:space="preserve">VAT No. (MWST-Nr.): CHE-112.345.678 IVA | Swiss Business Register: CHE-112.345.678</w:t>
      </w:r>
    </w:p>
    <w:p>
      <w:pPr>
        <w:pStyle w:val="BodyText"/>
      </w:pPr>
      <w:r>
        <w:t xml:space="preserve">Registered with the Federal Audit Oversight Authority (RAA) | Member of the Swiss Association of Auditors (SAA)</w:t>
      </w:r>
    </w:p>
    <w:p>
      <w:pPr>
        <w:pStyle w:val="BodyText"/>
      </w:pPr>
      <w:r>
        <w:t xml:space="preserve">This Invoice was generated electronically and is valid without a physical signature in accordance with Art. 16 of the Swiss Federal Act on Electronic Signatures.</w:t>
      </w:r>
    </w:p>
    <w:p>
      <w:pPr>
        <w:pStyle w:val="BodyText"/>
      </w:pPr>
      <w:r>
        <w:t xml:space="preserve">For questions regarding this Invoice, please contact our billing department at billing@zurichaudit.ch or +41 44 555 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Switzerland Zurich</dc:title>
  <dc:creator/>
  <dc:language>en</dc:language>
  <cp:keywords/>
  <dcterms:created xsi:type="dcterms:W3CDTF">2026-10-10T01:19:57Z</dcterms:created>
  <dcterms:modified xsi:type="dcterms:W3CDTF">2026-10-10T01:19:57Z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