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w:t>
      </w:r>
      <w:r>
        <w:t xml:space="preserve"> </w:t>
      </w:r>
      <w:r>
        <w:t xml:space="preserve">Services</w:t>
      </w:r>
      <w:r>
        <w:t xml:space="preserve"> </w:t>
      </w:r>
      <w:r>
        <w:t xml:space="preserve">-</w:t>
      </w:r>
      <w:r>
        <w:t xml:space="preserve"> </w:t>
      </w:r>
      <w:r>
        <w:t xml:space="preserve">Bangkok,</w:t>
      </w:r>
      <w:r>
        <w:t xml:space="preserve"> </w:t>
      </w:r>
      <w:r>
        <w:t xml:space="preserve">Thailand</w:t>
      </w:r>
    </w:p>
    <w:bookmarkStart w:id="20" w:name="siam-pacific-audit-advisory-co.-ltd."/>
    <w:p>
      <w:pPr>
        <w:pStyle w:val="Heading1"/>
      </w:pPr>
      <w:r>
        <w:t xml:space="preserve">Siam Pacific Audit &amp; Advisory Co., Ltd.</w:t>
      </w:r>
    </w:p>
    <w:p>
      <w:pPr>
        <w:pStyle w:val="FirstParagraph"/>
      </w:pPr>
      <w:r>
        <w:t xml:space="preserve">128th Floor, Siam Tower, 999 Rama I Road</w:t>
      </w:r>
    </w:p>
    <w:p>
      <w:pPr>
        <w:pStyle w:val="BodyText"/>
      </w:pPr>
      <w:r>
        <w:t xml:space="preserve">Pathumwan, Bangkok 10330, Thailand</w:t>
      </w:r>
    </w:p>
    <w:p>
      <w:pPr>
        <w:pStyle w:val="BodyText"/>
      </w:pPr>
      <w:r>
        <w:t xml:space="preserve">Tel: +66 (0) 2 255 8800 | Email: billing@siampacificaudit.co.th</w:t>
      </w:r>
    </w:p>
    <w:p>
      <w:pPr>
        <w:pStyle w:val="BodyText"/>
      </w:pPr>
      <w:r>
        <w:t xml:space="preserve">Tax ID (VAT Reg. No.): 0105558899221</w:t>
      </w:r>
    </w:p>
    <w:p>
      <w:pPr>
        <w:pStyle w:val="BodyText"/>
      </w:pPr>
      <w:r>
        <w:t xml:space="preserve">Registered with the Federation of Accounting Professions (FAP), Thailand</w:t>
      </w:r>
    </w:p>
    <w:bookmarkEnd w:id="20"/>
    <w:bookmarkStart w:id="21" w:name="invoice"/>
    <w:p>
      <w:pPr>
        <w:pStyle w:val="Heading2"/>
      </w:pPr>
      <w:r>
        <w:t xml:space="preserve">INVOICE</w:t>
      </w:r>
    </w:p>
    <w:p>
      <w:pPr>
        <w:pStyle w:val="FirstParagraph"/>
      </w:pPr>
      <w:r>
        <w:t xml:space="preserve">Invoice No: SPA-2025-BKK-04782</w:t>
      </w:r>
    </w:p>
    <w:p>
      <w:pPr>
        <w:pStyle w:val="BodyText"/>
      </w:pPr>
      <w:r>
        <w:t xml:space="preserve">Date Issued: 15 June 2025</w:t>
      </w:r>
    </w:p>
    <w:p>
      <w:pPr>
        <w:pStyle w:val="BodyText"/>
      </w:pPr>
      <w:r>
        <w:t xml:space="preserve">Due Date: 15 July 2025</w:t>
      </w:r>
    </w:p>
    <w:p>
      <w:pPr>
        <w:pStyle w:val="BodyText"/>
      </w:pPr>
      <w:r>
        <w:t xml:space="preserve">AUDITOR SERVICES</w:t>
      </w:r>
    </w:p>
    <w:bookmarkEnd w:id="21"/>
    <w:bookmarkStart w:id="22" w:name="billed-to-client"/>
    <w:p>
      <w:pPr>
        <w:pStyle w:val="Heading3"/>
      </w:pPr>
      <w:r>
        <w:t xml:space="preserve">Billed To (Client)</w:t>
      </w:r>
    </w:p>
    <w:p>
      <w:pPr>
        <w:pStyle w:val="FirstParagraph"/>
      </w:pPr>
      <w:r>
        <w:rPr>
          <w:bCs/>
          <w:b/>
        </w:rPr>
        <w:t xml:space="preserve">Chulalongkorn Industrial Group PCL</w:t>
      </w:r>
    </w:p>
    <w:p>
      <w:pPr>
        <w:pStyle w:val="BodyText"/>
      </w:pPr>
      <w:r>
        <w:t xml:space="preserve">45 Sukhumvit Road, Khlong Toei</w:t>
      </w:r>
    </w:p>
    <w:p>
      <w:pPr>
        <w:pStyle w:val="BodyText"/>
      </w:pPr>
      <w:r>
        <w:t xml:space="preserve">Bangkok 10110, Thailand</w:t>
      </w:r>
    </w:p>
    <w:p>
      <w:pPr>
        <w:pStyle w:val="BodyText"/>
      </w:pPr>
      <w:r>
        <w:t xml:space="preserve">Contact: Mr. Anan Siriwat, CFO</w:t>
      </w:r>
    </w:p>
    <w:p>
      <w:pPr>
        <w:pStyle w:val="BodyText"/>
      </w:pPr>
      <w:r>
        <w:t xml:space="preserve">Tax ID: 0105547722110</w:t>
      </w:r>
    </w:p>
    <w:bookmarkEnd w:id="22"/>
    <w:bookmarkStart w:id="23" w:name="engagement-details"/>
    <w:p>
      <w:pPr>
        <w:pStyle w:val="Heading3"/>
      </w:pPr>
      <w:r>
        <w:t xml:space="preserve">Engagement Details</w:t>
      </w:r>
    </w:p>
    <w:p>
      <w:pPr>
        <w:pStyle w:val="FirstParagraph"/>
      </w:pPr>
      <w:r>
        <w:t xml:space="preserve">Engagement Ref: AUD-2025-BKK-114</w:t>
      </w:r>
    </w:p>
    <w:p>
      <w:pPr>
        <w:pStyle w:val="BodyText"/>
      </w:pPr>
      <w:r>
        <w:t xml:space="preserve">Service Type: Annual Financial Audit</w:t>
      </w:r>
    </w:p>
    <w:p>
      <w:pPr>
        <w:pStyle w:val="BodyText"/>
      </w:pPr>
      <w:r>
        <w:t xml:space="preserve">Auditor in Charge: Ms. Kanya Prasert, CPA (Thailand)</w:t>
      </w:r>
    </w:p>
    <w:p>
      <w:pPr>
        <w:pStyle w:val="BodyText"/>
      </w:pPr>
      <w:r>
        <w:t xml:space="preserve">Period Under Audit: 1 Jan – 31 Dec 2024</w:t>
      </w:r>
    </w:p>
    <w:p>
      <w:pPr>
        <w:pStyle w:val="BodyText"/>
      </w:pPr>
      <w:r>
        <w:t xml:space="preserve">Standards: TFRS / IFRS, Thai SEC Regulations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 Services</w:t>
            </w:r>
          </w:p>
        </w:tc>
        <w:tc>
          <w:tcPr/>
          <w:p>
            <w:pPr>
              <w:pStyle w:val="Compact"/>
              <w:jc w:val="left"/>
            </w:pPr>
            <w:r>
              <w:t xml:space="preserve">Period / Basis</w:t>
            </w:r>
          </w:p>
        </w:tc>
        <w:tc>
          <w:tcPr/>
          <w:p>
            <w:pPr>
              <w:pStyle w:val="Compact"/>
              <w:jc w:val="left"/>
            </w:pPr>
            <w:r>
              <w:t xml:space="preserve">Rate (THB)</w:t>
            </w:r>
          </w:p>
        </w:tc>
        <w:tc>
          <w:tcPr/>
          <w:p>
            <w:pPr>
              <w:pStyle w:val="Compact"/>
              <w:jc w:val="left"/>
            </w:pPr>
            <w:r>
              <w:t xml:space="preserve">Hours</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Planning and risk assessment for the annual financial statement audit of Chulalongkorn Industrial Group PCL, including materiality determination, internal control evaluation, and audit strategy formulation in compliance with Thai Securities and Exchange Commission (SEC) requirements.</w:t>
            </w:r>
          </w:p>
        </w:tc>
        <w:tc>
          <w:tcPr/>
          <w:p>
            <w:pPr>
              <w:pStyle w:val="Compact"/>
              <w:jc w:val="left"/>
            </w:pPr>
            <w:r>
              <w:t xml:space="preserve">January 2025</w:t>
            </w:r>
          </w:p>
        </w:tc>
        <w:tc>
          <w:tcPr/>
          <w:p>
            <w:pPr>
              <w:pStyle w:val="Compact"/>
              <w:jc w:val="left"/>
            </w:pPr>
            <w:r>
              <w:t xml:space="preserve">4,500</w:t>
            </w:r>
          </w:p>
        </w:tc>
        <w:tc>
          <w:tcPr/>
          <w:p>
            <w:pPr>
              <w:pStyle w:val="Compact"/>
              <w:jc w:val="left"/>
            </w:pPr>
            <w:r>
              <w:t xml:space="preserve">32</w:t>
            </w:r>
          </w:p>
        </w:tc>
        <w:tc>
          <w:tcPr/>
          <w:p>
            <w:pPr>
              <w:pStyle w:val="Compact"/>
              <w:jc w:val="left"/>
            </w:pPr>
            <w:r>
              <w:t xml:space="preserve">144,000.00</w:t>
            </w:r>
          </w:p>
        </w:tc>
      </w:tr>
      <w:tr>
        <w:tc>
          <w:tcPr/>
          <w:p>
            <w:pPr>
              <w:pStyle w:val="Compact"/>
              <w:jc w:val="left"/>
            </w:pPr>
            <w:r>
              <w:t xml:space="preserve">2</w:t>
            </w:r>
          </w:p>
        </w:tc>
        <w:tc>
          <w:tcPr/>
          <w:p>
            <w:pPr>
              <w:pStyle w:val="Compact"/>
              <w:jc w:val="left"/>
            </w:pPr>
            <w:r>
              <w:t xml:space="preserve">Substantive testing of revenue, cost of goods sold, and gross profit accounts. The Auditor performed detailed vouching of transactions, confirmation of receivables with third-party debtors across Bangkok and provincial operations, and analytical procedures to identify anomalies in the financial records.</w:t>
            </w:r>
          </w:p>
        </w:tc>
        <w:tc>
          <w:tcPr/>
          <w:p>
            <w:pPr>
              <w:pStyle w:val="Compact"/>
              <w:jc w:val="left"/>
            </w:pPr>
            <w:r>
              <w:t xml:space="preserve">February – March 2025</w:t>
            </w:r>
          </w:p>
        </w:tc>
        <w:tc>
          <w:tcPr/>
          <w:p>
            <w:pPr>
              <w:pStyle w:val="Compact"/>
              <w:jc w:val="left"/>
            </w:pPr>
            <w:r>
              <w:t xml:space="preserve">4,200</w:t>
            </w:r>
          </w:p>
        </w:tc>
        <w:tc>
          <w:tcPr/>
          <w:p>
            <w:pPr>
              <w:pStyle w:val="Compact"/>
              <w:jc w:val="left"/>
            </w:pPr>
            <w:r>
              <w:t xml:space="preserve">86</w:t>
            </w:r>
          </w:p>
        </w:tc>
        <w:tc>
          <w:tcPr/>
          <w:p>
            <w:pPr>
              <w:pStyle w:val="Compact"/>
              <w:jc w:val="left"/>
            </w:pPr>
            <w:r>
              <w:t xml:space="preserve">361,200.00</w:t>
            </w:r>
          </w:p>
        </w:tc>
      </w:tr>
      <w:tr>
        <w:tc>
          <w:tcPr/>
          <w:p>
            <w:pPr>
              <w:pStyle w:val="Compact"/>
              <w:jc w:val="left"/>
            </w:pPr>
            <w:r>
              <w:t xml:space="preserve">3</w:t>
            </w:r>
          </w:p>
        </w:tc>
        <w:tc>
          <w:tcPr/>
          <w:p>
            <w:pPr>
              <w:pStyle w:val="Compact"/>
              <w:jc w:val="left"/>
            </w:pPr>
            <w:r>
              <w:t xml:space="preserve">Audit of fixed assets, inventory valuation, and property, plant, and equipment. The Auditor conducted physical inventory counts at the client's warehouses in Bangna and Laem Chabang, verified asset registers, and assessed impairment indicators in accordance with TFRS 13 and Thai accounting standards.</w:t>
            </w:r>
          </w:p>
        </w:tc>
        <w:tc>
          <w:tcPr/>
          <w:p>
            <w:pPr>
              <w:pStyle w:val="Compact"/>
              <w:jc w:val="left"/>
            </w:pPr>
            <w:r>
              <w:t xml:space="preserve">March – April 2025</w:t>
            </w:r>
          </w:p>
        </w:tc>
        <w:tc>
          <w:tcPr/>
          <w:p>
            <w:pPr>
              <w:pStyle w:val="Compact"/>
              <w:jc w:val="left"/>
            </w:pPr>
            <w:r>
              <w:t xml:space="preserve">4,200</w:t>
            </w:r>
          </w:p>
        </w:tc>
        <w:tc>
          <w:tcPr/>
          <w:p>
            <w:pPr>
              <w:pStyle w:val="Compact"/>
              <w:jc w:val="left"/>
            </w:pPr>
            <w:r>
              <w:t xml:space="preserve">64</w:t>
            </w:r>
          </w:p>
        </w:tc>
        <w:tc>
          <w:tcPr/>
          <w:p>
            <w:pPr>
              <w:pStyle w:val="Compact"/>
              <w:jc w:val="left"/>
            </w:pPr>
            <w:r>
              <w:t xml:space="preserve">268,800.00</w:t>
            </w:r>
          </w:p>
        </w:tc>
      </w:tr>
      <w:tr>
        <w:tc>
          <w:tcPr/>
          <w:p>
            <w:pPr>
              <w:pStyle w:val="Compact"/>
              <w:jc w:val="left"/>
            </w:pPr>
            <w:r>
              <w:t xml:space="preserve">4</w:t>
            </w:r>
          </w:p>
        </w:tc>
        <w:tc>
          <w:tcPr/>
          <w:p>
            <w:pPr>
              <w:pStyle w:val="Compact"/>
              <w:jc w:val="left"/>
            </w:pPr>
            <w:r>
              <w:t xml:space="preserve">Review of related-party transactions, intercompany eliminations, and compliance with the Thai Companies Act B.E. 2535 (1992) as amended. The Auditor examined board resolutions, shareholder agreements, and transfer pricing documentation to ensure full disclosure in the financial statements.</w:t>
            </w:r>
          </w:p>
        </w:tc>
        <w:tc>
          <w:tcPr/>
          <w:p>
            <w:pPr>
              <w:pStyle w:val="Compact"/>
              <w:jc w:val="left"/>
            </w:pPr>
            <w:r>
              <w:t xml:space="preserve">April – May 2025</w:t>
            </w:r>
          </w:p>
        </w:tc>
        <w:tc>
          <w:tcPr/>
          <w:p>
            <w:pPr>
              <w:pStyle w:val="Compact"/>
              <w:jc w:val="left"/>
            </w:pPr>
            <w:r>
              <w:t xml:space="preserve">4,800</w:t>
            </w:r>
          </w:p>
        </w:tc>
        <w:tc>
          <w:tcPr/>
          <w:p>
            <w:pPr>
              <w:pStyle w:val="Compact"/>
              <w:jc w:val="left"/>
            </w:pPr>
            <w:r>
              <w:t xml:space="preserve">48</w:t>
            </w:r>
          </w:p>
        </w:tc>
        <w:tc>
          <w:tcPr/>
          <w:p>
            <w:pPr>
              <w:pStyle w:val="Compact"/>
              <w:jc w:val="left"/>
            </w:pPr>
            <w:r>
              <w:t xml:space="preserve">230,400.00</w:t>
            </w:r>
          </w:p>
        </w:tc>
      </w:tr>
      <w:tr>
        <w:tc>
          <w:tcPr/>
          <w:p>
            <w:pPr>
              <w:pStyle w:val="Compact"/>
              <w:jc w:val="left"/>
            </w:pPr>
            <w:r>
              <w:t xml:space="preserve">5</w:t>
            </w:r>
          </w:p>
        </w:tc>
        <w:tc>
          <w:tcPr/>
          <w:p>
            <w:pPr>
              <w:pStyle w:val="Compact"/>
              <w:jc w:val="left"/>
            </w:pPr>
            <w:r>
              <w:t xml:space="preserve">Final review, consolidation of audit findings, preparation of the Auditor's report, and issuance of the audit opinion. This includes the drafting of management letters, communication of internal control deficiencies to the Board of Directors, and filing of the audited financial statements with the Department of Business Development (DBD) in Bangkok.</w:t>
            </w:r>
          </w:p>
        </w:tc>
        <w:tc>
          <w:tcPr/>
          <w:p>
            <w:pPr>
              <w:pStyle w:val="Compact"/>
              <w:jc w:val="left"/>
            </w:pPr>
            <w:r>
              <w:t xml:space="preserve">May – June 2025</w:t>
            </w:r>
          </w:p>
        </w:tc>
        <w:tc>
          <w:tcPr/>
          <w:p>
            <w:pPr>
              <w:pStyle w:val="Compact"/>
              <w:jc w:val="left"/>
            </w:pPr>
            <w:r>
              <w:t xml:space="preserve">5,000</w:t>
            </w:r>
          </w:p>
        </w:tc>
        <w:tc>
          <w:tcPr/>
          <w:p>
            <w:pPr>
              <w:pStyle w:val="Compact"/>
              <w:jc w:val="left"/>
            </w:pPr>
            <w:r>
              <w:t xml:space="preserve">40</w:t>
            </w:r>
          </w:p>
        </w:tc>
        <w:tc>
          <w:tcPr/>
          <w:p>
            <w:pPr>
              <w:pStyle w:val="Compact"/>
              <w:jc w:val="left"/>
            </w:pPr>
            <w:r>
              <w:t xml:space="preserve">200,000.00</w:t>
            </w:r>
          </w:p>
        </w:tc>
      </w:tr>
      <w:tr>
        <w:tc>
          <w:tcPr/>
          <w:p>
            <w:pPr>
              <w:pStyle w:val="Compact"/>
              <w:jc w:val="left"/>
            </w:pPr>
            <w:r>
              <w:t xml:space="preserve">6</w:t>
            </w:r>
          </w:p>
        </w:tc>
        <w:tc>
          <w:tcPr/>
          <w:p>
            <w:pPr>
              <w:pStyle w:val="Compact"/>
              <w:jc w:val="left"/>
            </w:pPr>
            <w:r>
              <w:t xml:space="preserve">Travel, accommodation, and out-of-pocket expenses incurred by the Auditor and audit team while performing fieldwork at client premises in Bangkok and satellite locations within the Bangkok Metropolitan Region.</w:t>
            </w:r>
          </w:p>
        </w:tc>
        <w:tc>
          <w:tcPr/>
          <w:p>
            <w:pPr>
              <w:pStyle w:val="Compact"/>
              <w:jc w:val="left"/>
            </w:pPr>
            <w:r>
              <w:t xml:space="preserve">January – June 2025</w:t>
            </w:r>
          </w:p>
        </w:tc>
        <w:tc>
          <w:tcPr/>
          <w:p>
            <w:pPr>
              <w:pStyle w:val="Compact"/>
              <w:jc w:val="left"/>
            </w:pPr>
            <w:r>
              <w:t xml:space="preserve">—</w:t>
            </w:r>
          </w:p>
        </w:tc>
        <w:tc>
          <w:tcPr/>
          <w:p>
            <w:pPr>
              <w:pStyle w:val="Compact"/>
              <w:jc w:val="left"/>
            </w:pPr>
            <w:r>
              <w:t xml:space="preserve">—</w:t>
            </w:r>
          </w:p>
        </w:tc>
        <w:tc>
          <w:tcPr/>
          <w:p>
            <w:pPr>
              <w:pStyle w:val="Compact"/>
              <w:jc w:val="left"/>
            </w:pPr>
            <w:r>
              <w:t xml:space="preserve">38,500.00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(THB)</w:t>
            </w:r>
          </w:p>
        </w:tc>
        <w:tc>
          <w:tcPr/>
          <w:p>
            <w:pPr>
              <w:pStyle w:val="Compact"/>
              <w:jc w:val="left"/>
            </w:pPr>
            <w:r>
              <w:t xml:space="preserve">1,242,900.00</w:t>
            </w:r>
          </w:p>
        </w:tc>
      </w:tr>
      <w:tr>
        <w:tc>
          <w:tcPr/>
          <w:p>
            <w:pPr>
              <w:pStyle w:val="Compact"/>
              <w:jc w:val="left"/>
            </w:pPr>
            <w:r>
              <w:t xml:space="preserve">Discount (Early Payment 2%)</w:t>
            </w:r>
          </w:p>
        </w:tc>
        <w:tc>
          <w:tcPr/>
          <w:p>
            <w:pPr>
              <w:pStyle w:val="Compact"/>
              <w:jc w:val="left"/>
            </w:pPr>
            <w:r>
              <w:t xml:space="preserve">(24,858.00)</w:t>
            </w:r>
          </w:p>
        </w:tc>
      </w:tr>
      <w:tr>
        <w:tc>
          <w:tcPr/>
          <w:p>
            <w:pPr>
              <w:pStyle w:val="Compact"/>
              <w:jc w:val="left"/>
            </w:pPr>
            <w:r>
              <w:t xml:space="preserve">VAT (7% – Thailand Revenue Code)</w:t>
            </w:r>
          </w:p>
        </w:tc>
        <w:tc>
          <w:tcPr/>
          <w:p>
            <w:pPr>
              <w:pStyle w:val="Compact"/>
              <w:jc w:val="left"/>
            </w:pPr>
            <w:r>
              <w:t xml:space="preserve">84,465.66</w:t>
            </w:r>
          </w:p>
        </w:tc>
      </w:tr>
      <w:tr>
        <w:tc>
          <w:tcPr/>
          <w:p>
            <w:pPr>
              <w:pStyle w:val="Compact"/>
              <w:jc w:val="left"/>
            </w:pPr>
            <w:r>
              <w:t xml:space="preserve">TOTAL AMOUNT DUE (THB)</w:t>
            </w:r>
          </w:p>
        </w:tc>
        <w:tc>
          <w:tcPr/>
          <w:p>
            <w:pPr>
              <w:pStyle w:val="Compact"/>
              <w:jc w:val="left"/>
            </w:pPr>
            <w:r>
              <w:t xml:space="preserve">1,302,507.66</w:t>
            </w:r>
          </w:p>
        </w:tc>
      </w:tr>
    </w:tbl>
    <w:bookmarkStart w:id="24" w:name="Xa703a5b89c3e4b50eb143640a4342e68edc9dc8"/>
    <w:p>
      <w:pPr>
        <w:pStyle w:val="Heading3"/>
      </w:pPr>
      <w:r>
        <w:t xml:space="preserve">Notes Regarding This Invoice and the Audit Engagement</w:t>
      </w:r>
    </w:p>
    <w:p>
      <w:pPr>
        <w:pStyle w:val="FirstParagraph"/>
      </w:pPr>
      <w:r>
        <w:t xml:space="preserve">This invoice is issued by Siam Pacific Audit &amp; Advisory Co., Ltd. in its capacity as the independent external Auditor engaged by Chulalongkorn Industrial Group PCL for the fiscal year ending 31 December 2024. All audit procedures were performed in Bangkok, Thailand, in strict accordance with the Thai Standards on Auditing (TSA), International Standards on Auditing (ISA), and the regulations of the Thai Securities and Exchange Commission (SEC).</w:t>
      </w:r>
    </w:p>
    <w:p>
      <w:pPr>
        <w:numPr>
          <w:ilvl w:val="0"/>
          <w:numId w:val="1001"/>
        </w:numPr>
        <w:pStyle w:val="Compact"/>
      </w:pPr>
      <w:r>
        <w:t xml:space="preserve">The Auditor has maintained full independence and objectivity throughout the engagement as required by the Code of Ethics for Professional Accountants issued by the FAP Thailand.</w:t>
      </w:r>
    </w:p>
    <w:p>
      <w:pPr>
        <w:numPr>
          <w:ilvl w:val="0"/>
          <w:numId w:val="1001"/>
        </w:numPr>
        <w:pStyle w:val="Compact"/>
      </w:pPr>
      <w:r>
        <w:t xml:space="preserve">All working papers and audit documentation are retained in Bangkok for a minimum period of ten (10) years in compliance with Thai regulatory requirements.</w:t>
      </w:r>
    </w:p>
    <w:p>
      <w:pPr>
        <w:numPr>
          <w:ilvl w:val="0"/>
          <w:numId w:val="1001"/>
        </w:numPr>
        <w:pStyle w:val="Compact"/>
      </w:pPr>
      <w:r>
        <w:t xml:space="preserve">The audit opinion letter will be delivered separately upon completion of all procedures and will be filed with the relevant Thai government authorities.</w:t>
      </w:r>
    </w:p>
    <w:p>
      <w:pPr>
        <w:numPr>
          <w:ilvl w:val="0"/>
          <w:numId w:val="1001"/>
        </w:numPr>
        <w:pStyle w:val="Compact"/>
      </w:pPr>
      <w:r>
        <w:t xml:space="preserve">Payment is due within thirty (30) days of the invoice date via bank transfer to the account specified below. Late payments will incur a penalty of 1.5% per month as stipulated under Thai commercial law.</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Siam Commercial Bank (SCB), Bangkok Central Office</w:t>
      </w:r>
    </w:p>
    <w:p>
      <w:pPr>
        <w:pStyle w:val="BodyText"/>
      </w:pPr>
      <w:r>
        <w:rPr>
          <w:bCs/>
          <w:b/>
        </w:rPr>
        <w:t xml:space="preserve">Account Name:</w:t>
      </w:r>
      <w:r>
        <w:t xml:space="preserve"> </w:t>
      </w:r>
      <w:r>
        <w:t xml:space="preserve">Siam Pacific Audit &amp; Advisory Co., Ltd.</w:t>
      </w:r>
    </w:p>
    <w:p>
      <w:pPr>
        <w:pStyle w:val="BodyText"/>
      </w:pPr>
      <w:r>
        <w:rPr>
          <w:bCs/>
          <w:b/>
        </w:rPr>
        <w:t xml:space="preserve">Account No.:</w:t>
      </w:r>
      <w:r>
        <w:t xml:space="preserve"> </w:t>
      </w:r>
      <w:r>
        <w:t xml:space="preserve">012-3-45678-9</w:t>
      </w:r>
    </w:p>
    <w:p>
      <w:pPr>
        <w:pStyle w:val="BodyText"/>
      </w:pPr>
      <w:r>
        <w:rPr>
          <w:bCs/>
          <w:b/>
        </w:rPr>
        <w:t xml:space="preserve">SWIFT Code:</w:t>
      </w:r>
      <w:r>
        <w:t xml:space="preserve"> </w:t>
      </w:r>
      <w:r>
        <w:t xml:space="preserve">SIBLTHBK</w:t>
      </w:r>
    </w:p>
    <w:p>
      <w:pPr>
        <w:pStyle w:val="BodyText"/>
      </w:pPr>
      <w:r>
        <w:rPr>
          <w:bCs/>
          <w:b/>
        </w:rPr>
        <w:t xml:space="preserve">IBAN (Thai):</w:t>
      </w:r>
      <w:r>
        <w:t xml:space="preserve"> </w:t>
      </w:r>
      <w:r>
        <w:t xml:space="preserve">TH05 SIBL 0123 4567 8901 2</w:t>
      </w:r>
    </w:p>
    <w:p>
      <w:pPr>
        <w:pStyle w:val="BodyText"/>
      </w:pPr>
      <w:r>
        <w:t xml:space="preserve">Please reference Invoice No. SPA-2025-BKK-04782 in your payment remittance. For any queries regarding this invoice or the audit engagement, please contact the billing department at billing@siampacificaudit.co.th or call +66 (0) 2 255 8800 ext. 204 during business hours (Monday to Friday, 09:00–17:30 ICT, Bangkok time).</w:t>
      </w:r>
    </w:p>
    <w:bookmarkEnd w:id="25"/>
    <w:p>
      <w:pPr>
        <w:pStyle w:val="BodyText"/>
      </w:pPr>
      <w:r>
        <w:t xml:space="preserve">Siam Pacific Audit &amp; Advisory Co., Ltd. | 999 Rama I Road, Pathumwan, Bangkok 10330, Thailand</w:t>
      </w:r>
    </w:p>
    <w:p>
      <w:pPr>
        <w:pStyle w:val="BodyText"/>
      </w:pPr>
      <w:r>
        <w:t xml:space="preserve">Registered Company No. 0105558899221 | VAT Reg. No. 0105558899221 | FAP License No. 1234/2567</w:t>
      </w:r>
    </w:p>
    <w:p>
      <w:pPr>
        <w:pStyle w:val="BodyText"/>
      </w:pPr>
      <w:r>
        <w:t xml:space="preserve">This invoice is a computer-generated document and does not require a physical signature. It is valid as a legal financial document under Thai law.</w:t>
      </w:r>
    </w:p>
    <w:p>
      <w:pPr>
        <w:pStyle w:val="BodyText"/>
      </w:pPr>
      <w:r>
        <w:t xml:space="preserve">© 2025 Siam Pacific Audit &amp; Advisory Co., Ltd. All rights reserved. Bangkok, Thailand.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 Services - Bangkok, Thailand</dc:title>
  <dc:creator/>
  <dc:language>en</dc:language>
  <cp:keywords/>
  <dcterms:created xsi:type="dcterms:W3CDTF">2026-10-10T09:09:46Z</dcterms:created>
  <dcterms:modified xsi:type="dcterms:W3CDTF">2026-10-10T09:09:46Z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