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nkara-audit-compliance-llp"/>
    <w:p>
      <w:pPr>
        <w:pStyle w:val="Heading1"/>
      </w:pPr>
      <w:r>
        <w:t xml:space="preserve">Ankara Audit &amp; Compliance LLP</w:t>
      </w:r>
    </w:p>
    <w:p>
      <w:pPr>
        <w:pStyle w:val="FirstParagraph"/>
      </w:pPr>
      <w:r>
        <w:t xml:space="preserve">Independent Auditor Firm</w:t>
      </w:r>
    </w:p>
    <w:p>
      <w:pPr>
        <w:pStyle w:val="BodyText"/>
      </w:pPr>
      <w:r>
        <w:t xml:space="preserve">Çankaya District, Kızılay Avenue No. 142/8</w:t>
      </w:r>
    </w:p>
    <w:p>
      <w:pPr>
        <w:pStyle w:val="BodyText"/>
      </w:pPr>
      <w:r>
        <w:t xml:space="preserve">Ankara 06680, Turkey</w:t>
      </w:r>
    </w:p>
    <w:p>
      <w:pPr>
        <w:pStyle w:val="BodyText"/>
      </w:pPr>
      <w:r>
        <w:t xml:space="preserve">Tax ID (VKN): 1234567890</w:t>
      </w:r>
    </w:p>
    <w:p>
      <w:pPr>
        <w:pStyle w:val="BodyText"/>
      </w:pPr>
      <w:r>
        <w:t xml:space="preserve">Phone: +90 312 445 6789</w:t>
      </w:r>
    </w:p>
    <w:p>
      <w:pPr>
        <w:pStyle w:val="BodyText"/>
      </w:pPr>
      <w:r>
        <w:t xml:space="preserve">Email: billing@ankaraaudit.com.tr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INV-2025-ANK-0047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Turkish Lira (TRY)</w:t>
      </w:r>
    </w:p>
    <w:bookmarkEnd w:id="21"/>
    <w:bookmarkStart w:id="22" w:name="billed-to-client"/>
    <w:p>
      <w:pPr>
        <w:pStyle w:val="Heading3"/>
      </w:pPr>
      <w:r>
        <w:t xml:space="preserve">Billed To (Client)</w:t>
      </w:r>
    </w:p>
    <w:p>
      <w:pPr>
        <w:pStyle w:val="FirstParagraph"/>
      </w:pPr>
      <w:r>
        <w:rPr>
          <w:bCs/>
          <w:b/>
        </w:rPr>
        <w:t xml:space="preserve">Meridian Industrial Holdings A.Ş.</w:t>
      </w:r>
    </w:p>
    <w:p>
      <w:pPr>
        <w:pStyle w:val="BodyText"/>
      </w:pPr>
      <w:r>
        <w:t xml:space="preserve">Atatürk Bulvarı No. 88, Kat 12</w:t>
      </w:r>
    </w:p>
    <w:p>
      <w:pPr>
        <w:pStyle w:val="BodyText"/>
      </w:pPr>
      <w:r>
        <w:t xml:space="preserve">Çankaya, Ankara 06700, Turkey</w:t>
      </w:r>
    </w:p>
    <w:p>
      <w:pPr>
        <w:pStyle w:val="BodyText"/>
      </w:pPr>
      <w:r>
        <w:t xml:space="preserve">Tax ID (VKN): 9876543210</w:t>
      </w:r>
    </w:p>
    <w:p>
      <w:pPr>
        <w:pStyle w:val="BodyText"/>
      </w:pPr>
      <w:r>
        <w:t xml:space="preserve">Contact: Mr. Emre Yılmaz, CFO</w:t>
      </w:r>
    </w:p>
    <w:p>
      <w:pPr>
        <w:pStyle w:val="BodyText"/>
      </w:pPr>
      <w:r>
        <w:t xml:space="preserve">Email: e.yilmaz@meridianindustrial.com</w:t>
      </w:r>
    </w:p>
    <w:bookmarkEnd w:id="22"/>
    <w:bookmarkStart w:id="23" w:name="prepared-by-auditor"/>
    <w:p>
      <w:pPr>
        <w:pStyle w:val="Heading3"/>
      </w:pPr>
      <w:r>
        <w:t xml:space="preserve">Prepared By (Auditor)</w:t>
      </w:r>
    </w:p>
    <w:p>
      <w:pPr>
        <w:pStyle w:val="FirstParagraph"/>
      </w:pPr>
      <w:r>
        <w:rPr>
          <w:bCs/>
          <w:b/>
        </w:rPr>
        <w:t xml:space="preserve">Ms. Ayşe Kaya, CPA</w:t>
      </w:r>
    </w:p>
    <w:p>
      <w:pPr>
        <w:pStyle w:val="BodyText"/>
      </w:pPr>
      <w:r>
        <w:t xml:space="preserve">Lead Auditor, Ankara Audit &amp; Compliance LLP</w:t>
      </w:r>
    </w:p>
    <w:p>
      <w:pPr>
        <w:pStyle w:val="BodyText"/>
      </w:pPr>
      <w:r>
        <w:t xml:space="preserve">License No: TÜRMOB-2019-44521</w:t>
      </w:r>
    </w:p>
    <w:p>
      <w:pPr>
        <w:pStyle w:val="BodyText"/>
      </w:pPr>
      <w:r>
        <w:t xml:space="preserve">Specialization: Financial &amp; Statutory Audit</w:t>
      </w:r>
    </w:p>
    <w:p>
      <w:pPr>
        <w:pStyle w:val="BodyText"/>
      </w:pPr>
      <w:r>
        <w:t xml:space="preserve">Office: Ankara, Turkey</w:t>
      </w:r>
    </w:p>
    <w:p>
      <w:pPr>
        <w:pStyle w:val="BodyText"/>
      </w:pPr>
      <w:r>
        <w:t xml:space="preserve">Registration: Ankara Chamber of Certified Public Accountants</w:t>
      </w:r>
    </w:p>
    <w:bookmarkEnd w:id="23"/>
    <w:bookmarkStart w:id="24" w:name="X6ed45b8d67815870af0475abb5ec0a335da3b50"/>
    <w:p>
      <w:pPr>
        <w:pStyle w:val="Heading3"/>
      </w:pPr>
      <w:r>
        <w:t xml:space="preserve">Description of Auditor Services Rendered in Turkey Ankara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Statutory financial audit of annual accounts for fiscal year 2024, conducted in accordance with Turkish Commercial Code (TCC) Article 394 and International Standards on Auditing (ISA) as adopted in Turkey Ankara jurisdiction.</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Internal control assessment and risk-based audit planning for manufacturing operations located in the Ostim Organized Industrial Zone, Ankara, Turkey. Includes walkthrough procedures and control testing.</w:t>
            </w:r>
          </w:p>
        </w:tc>
        <w:tc>
          <w:tcPr/>
          <w:p>
            <w:pPr>
              <w:pStyle w:val="Compact"/>
              <w:jc w:val="left"/>
            </w:pPr>
            <w:r>
              <w:t xml:space="preserve">Feb – Apr 2025</w:t>
            </w:r>
          </w:p>
        </w:tc>
        <w:tc>
          <w:tcPr/>
          <w:p>
            <w:pPr>
              <w:pStyle w:val="Compact"/>
              <w:jc w:val="left"/>
            </w:pPr>
            <w:r>
              <w:t xml:space="preserve">85</w:t>
            </w:r>
          </w:p>
        </w:tc>
        <w:tc>
          <w:tcPr/>
          <w:p>
            <w:pPr>
              <w:pStyle w:val="Compact"/>
              <w:jc w:val="left"/>
            </w:pPr>
            <w:r>
              <w:t xml:space="preserve">1,650.00</w:t>
            </w:r>
          </w:p>
        </w:tc>
        <w:tc>
          <w:tcPr/>
          <w:p>
            <w:pPr>
              <w:pStyle w:val="Compact"/>
              <w:jc w:val="left"/>
            </w:pPr>
            <w:r>
              <w:t xml:space="preserve">140,250.00</w:t>
            </w:r>
          </w:p>
        </w:tc>
      </w:tr>
      <w:tr>
        <w:tc>
          <w:tcPr/>
          <w:p>
            <w:pPr>
              <w:pStyle w:val="Compact"/>
              <w:jc w:val="left"/>
            </w:pPr>
            <w:r>
              <w:t xml:space="preserve">03</w:t>
            </w:r>
          </w:p>
        </w:tc>
        <w:tc>
          <w:tcPr/>
          <w:p>
            <w:pPr>
              <w:pStyle w:val="Compact"/>
              <w:jc w:val="left"/>
            </w:pPr>
            <w:r>
              <w:t xml:space="preserve">Compliance review of transfer pricing documentation and intercompany transactions in alignment with Turkish Revenue Administration regulations applicable to entities registered in Turkey Ankara.</w:t>
            </w:r>
          </w:p>
        </w:tc>
        <w:tc>
          <w:tcPr/>
          <w:p>
            <w:pPr>
              <w:pStyle w:val="Compact"/>
              <w:jc w:val="left"/>
            </w:pPr>
            <w:r>
              <w:t xml:space="preserve">Mar – May 2025</w:t>
            </w:r>
          </w:p>
        </w:tc>
        <w:tc>
          <w:tcPr/>
          <w:p>
            <w:pPr>
              <w:pStyle w:val="Compact"/>
              <w:jc w:val="left"/>
            </w:pPr>
            <w:r>
              <w:t xml:space="preserve">60</w:t>
            </w:r>
          </w:p>
        </w:tc>
        <w:tc>
          <w:tcPr/>
          <w:p>
            <w:pPr>
              <w:pStyle w:val="Compact"/>
              <w:jc w:val="left"/>
            </w:pPr>
            <w:r>
              <w:t xml:space="preserve">1,950.00</w:t>
            </w:r>
          </w:p>
        </w:tc>
        <w:tc>
          <w:tcPr/>
          <w:p>
            <w:pPr>
              <w:pStyle w:val="Compact"/>
              <w:jc w:val="left"/>
            </w:pPr>
            <w:r>
              <w:t xml:space="preserve">117,000.00</w:t>
            </w:r>
          </w:p>
        </w:tc>
      </w:tr>
      <w:tr>
        <w:tc>
          <w:tcPr/>
          <w:p>
            <w:pPr>
              <w:pStyle w:val="Compact"/>
              <w:jc w:val="left"/>
            </w:pPr>
            <w:r>
              <w:t xml:space="preserve">04</w:t>
            </w:r>
          </w:p>
        </w:tc>
        <w:tc>
          <w:tcPr/>
          <w:p>
            <w:pPr>
              <w:pStyle w:val="Compact"/>
              <w:jc w:val="left"/>
            </w:pPr>
            <w:r>
              <w:t xml:space="preserve">Preparation and issuance of the independent Auditor's report, management letter, and key audit matters summary for the Board of Directors of Meridian Industrial Holdings A.Ş.</w:t>
            </w:r>
          </w:p>
        </w:tc>
        <w:tc>
          <w:tcPr/>
          <w:p>
            <w:pPr>
              <w:pStyle w:val="Compact"/>
              <w:jc w:val="left"/>
            </w:pPr>
            <w:r>
              <w:t xml:space="preserve">May – Jun 2025</w:t>
            </w:r>
          </w:p>
        </w:tc>
        <w:tc>
          <w:tcPr/>
          <w:p>
            <w:pPr>
              <w:pStyle w:val="Compact"/>
              <w:jc w:val="left"/>
            </w:pPr>
            <w:r>
              <w:t xml:space="preserve">40</w:t>
            </w:r>
          </w:p>
        </w:tc>
        <w:tc>
          <w:tcPr/>
          <w:p>
            <w:pPr>
              <w:pStyle w:val="Compact"/>
              <w:jc w:val="left"/>
            </w:pPr>
            <w:r>
              <w:t xml:space="preserve">2,100.00</w:t>
            </w:r>
          </w:p>
        </w:tc>
        <w:tc>
          <w:tcPr/>
          <w:p>
            <w:pPr>
              <w:pStyle w:val="Compact"/>
              <w:jc w:val="left"/>
            </w:pPr>
            <w:r>
              <w:t xml:space="preserve">84,000.00</w:t>
            </w:r>
          </w:p>
        </w:tc>
      </w:tr>
      <w:tr>
        <w:tc>
          <w:tcPr/>
          <w:p>
            <w:pPr>
              <w:pStyle w:val="Compact"/>
              <w:jc w:val="left"/>
            </w:pPr>
            <w:r>
              <w:t xml:space="preserve">05</w:t>
            </w:r>
          </w:p>
        </w:tc>
        <w:tc>
          <w:tcPr/>
          <w:p>
            <w:pPr>
              <w:pStyle w:val="Compact"/>
              <w:jc w:val="left"/>
            </w:pPr>
            <w:r>
              <w:t xml:space="preserve">On-site verification of inventory, fixed assets, and cash balances at the client's Ankara headquarters and two regional warehouses within the Ankara metropolitan area, Turkey.</w:t>
            </w:r>
          </w:p>
        </w:tc>
        <w:tc>
          <w:tcPr/>
          <w:p>
            <w:pPr>
              <w:pStyle w:val="Compact"/>
              <w:jc w:val="left"/>
            </w:pPr>
            <w:r>
              <w:t xml:space="preserve">Apr – May 2025</w:t>
            </w:r>
          </w:p>
        </w:tc>
        <w:tc>
          <w:tcPr/>
          <w:p>
            <w:pPr>
              <w:pStyle w:val="Compact"/>
              <w:jc w:val="left"/>
            </w:pPr>
            <w:r>
              <w:t xml:space="preserve">55</w:t>
            </w:r>
          </w:p>
        </w:tc>
        <w:tc>
          <w:tcPr/>
          <w:p>
            <w:pPr>
              <w:pStyle w:val="Compact"/>
              <w:jc w:val="left"/>
            </w:pPr>
            <w:r>
              <w:t xml:space="preserve">1,750.00</w:t>
            </w:r>
          </w:p>
        </w:tc>
        <w:tc>
          <w:tcPr/>
          <w:p>
            <w:pPr>
              <w:pStyle w:val="Compact"/>
              <w:jc w:val="left"/>
            </w:pPr>
            <w:r>
              <w:t xml:space="preserve">96,250.00</w:t>
            </w:r>
          </w:p>
        </w:tc>
      </w:tr>
      <w:tr>
        <w:tc>
          <w:tcPr/>
          <w:p>
            <w:pPr>
              <w:pStyle w:val="Compact"/>
              <w:jc w:val="left"/>
            </w:pPr>
            <w:r>
              <w:t xml:space="preserve">06</w:t>
            </w:r>
          </w:p>
        </w:tc>
        <w:tc>
          <w:tcPr/>
          <w:p>
            <w:pPr>
              <w:pStyle w:val="Compact"/>
              <w:jc w:val="left"/>
            </w:pPr>
            <w:r>
              <w:t xml:space="preserve">Advisory consultation on IFRS adoption readiness and gap analysis for the Auditor's ongoing engagement, including two on-site meetings at the Ankara office.</w:t>
            </w:r>
          </w:p>
        </w:tc>
        <w:tc>
          <w:tcPr/>
          <w:p>
            <w:pPr>
              <w:pStyle w:val="Compact"/>
              <w:jc w:val="left"/>
            </w:pPr>
            <w:r>
              <w:t xml:space="preserve">Jun 2025</w:t>
            </w:r>
          </w:p>
        </w:tc>
        <w:tc>
          <w:tcPr/>
          <w:p>
            <w:pPr>
              <w:pStyle w:val="Compact"/>
              <w:jc w:val="left"/>
            </w:pPr>
            <w:r>
              <w:t xml:space="preserve">24</w:t>
            </w:r>
          </w:p>
        </w:tc>
        <w:tc>
          <w:tcPr/>
          <w:p>
            <w:pPr>
              <w:pStyle w:val="Compact"/>
              <w:jc w:val="left"/>
            </w:pPr>
            <w:r>
              <w:t xml:space="preserve">2,200.00</w:t>
            </w:r>
          </w:p>
        </w:tc>
        <w:tc>
          <w:tcPr/>
          <w:p>
            <w:pPr>
              <w:pStyle w:val="Compact"/>
              <w:jc w:val="left"/>
            </w:pPr>
            <w:r>
              <w:t xml:space="preserve">52,800.00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712,300.00 TRY</w:t>
            </w:r>
          </w:p>
        </w:tc>
      </w:tr>
      <w:tr>
        <w:tc>
          <w:tcPr/>
          <w:p>
            <w:pPr>
              <w:pStyle w:val="Compact"/>
              <w:jc w:val="left"/>
            </w:pPr>
            <w:r>
              <w:t xml:space="preserve">VAT (KDV) – 20%</w:t>
            </w:r>
          </w:p>
        </w:tc>
        <w:tc>
          <w:tcPr/>
          <w:p>
            <w:pPr>
              <w:pStyle w:val="Compact"/>
              <w:jc w:val="right"/>
            </w:pPr>
            <w:r>
              <w:t xml:space="preserve">142,460.00 TRY</w:t>
            </w:r>
          </w:p>
        </w:tc>
      </w:tr>
      <w:tr>
        <w:tc>
          <w:tcPr/>
          <w:p>
            <w:pPr>
              <w:pStyle w:val="Compact"/>
              <w:jc w:val="left"/>
            </w:pPr>
            <w:r>
              <w:t xml:space="preserve">Withholding Tax (Stopaj) – 15%</w:t>
            </w:r>
          </w:p>
        </w:tc>
        <w:tc>
          <w:tcPr/>
          <w:p>
            <w:pPr>
              <w:pStyle w:val="Compact"/>
              <w:jc w:val="right"/>
            </w:pPr>
            <w:r>
              <w:t xml:space="preserve">(106,845.00) TRY</w:t>
            </w:r>
          </w:p>
        </w:tc>
      </w:tr>
      <w:tr>
        <w:tc>
          <w:tcPr/>
          <w:p>
            <w:pPr>
              <w:pStyle w:val="Compact"/>
              <w:jc w:val="left"/>
            </w:pPr>
            <w:r>
              <w:t xml:space="preserve">Net Payable Amount</w:t>
            </w:r>
          </w:p>
        </w:tc>
        <w:tc>
          <w:tcPr/>
          <w:p>
            <w:pPr>
              <w:pStyle w:val="Compact"/>
              <w:jc w:val="right"/>
            </w:pPr>
            <w:r>
              <w:t xml:space="preserve">747,915.00 TRY</w:t>
            </w:r>
          </w:p>
        </w:tc>
      </w:tr>
    </w:tbl>
    <w:bookmarkEnd w:id="24"/>
    <w:bookmarkStart w:id="25" w:name="payment-terms-instructions"/>
    <w:p>
      <w:pPr>
        <w:pStyle w:val="Heading3"/>
      </w:pPr>
      <w:r>
        <w:t xml:space="preserve">Payment Terms &amp; Instructions</w:t>
      </w:r>
    </w:p>
    <w:p>
      <w:pPr>
        <w:pStyle w:val="FirstParagraph"/>
      </w:pPr>
      <w:r>
        <w:t xml:space="preserve">This Invoice is payable within fifteen (15) calendar days from the issue date, no later than 30 June 2025. Payment shall be made via bank transfer to the following account held in Turkey Ankara:</w:t>
      </w:r>
    </w:p>
    <w:p>
      <w:pPr>
        <w:pStyle w:val="BodyText"/>
      </w:pPr>
      <w:r>
        <w:rPr>
          <w:bCs/>
          <w:b/>
        </w:rPr>
        <w:t xml:space="preserve">Bank:</w:t>
      </w:r>
      <w:r>
        <w:t xml:space="preserve"> </w:t>
      </w:r>
      <w:r>
        <w:t xml:space="preserve">Ziraat Bankası A.Ş., Kızılay Branch, Ankara</w:t>
      </w:r>
    </w:p>
    <w:p>
      <w:pPr>
        <w:pStyle w:val="BodyText"/>
      </w:pPr>
      <w:r>
        <w:rPr>
          <w:bCs/>
          <w:b/>
        </w:rPr>
        <w:t xml:space="preserve">Account Name:</w:t>
      </w:r>
      <w:r>
        <w:t xml:space="preserve"> </w:t>
      </w:r>
      <w:r>
        <w:t xml:space="preserve">Ankara Audit &amp; Compliance LLP</w:t>
      </w:r>
    </w:p>
    <w:p>
      <w:pPr>
        <w:pStyle w:val="BodyText"/>
      </w:pPr>
      <w:r>
        <w:rPr>
          <w:bCs/>
          <w:b/>
        </w:rPr>
        <w:t xml:space="preserve">IBAN:</w:t>
      </w:r>
      <w:r>
        <w:t xml:space="preserve"> </w:t>
      </w:r>
      <w:r>
        <w:t xml:space="preserve">TR33 0001 0002 3456 7890 1234 56</w:t>
      </w:r>
    </w:p>
    <w:p>
      <w:pPr>
        <w:pStyle w:val="BodyText"/>
      </w:pPr>
      <w:r>
        <w:rPr>
          <w:bCs/>
          <w:b/>
        </w:rPr>
        <w:t xml:space="preserve">SWIFT/BIC:</w:t>
      </w:r>
      <w:r>
        <w:t xml:space="preserve"> </w:t>
      </w:r>
      <w:r>
        <w:t xml:space="preserve">TCBKTR2A</w:t>
      </w:r>
    </w:p>
    <w:p>
      <w:pPr>
        <w:pStyle w:val="BodyText"/>
      </w:pPr>
      <w:r>
        <w:t xml:space="preserve">Please reference Invoice number INV-2025-ANK-0047 in the payment remittance. Late payments shall incur a penalty interest at the rate prescribed by the Turkish Code of Obligations (TBK Article 120). The Auditor reserves the right to suspend ongoing audit procedures in the event of non-payment beyond the due date.</w:t>
      </w:r>
    </w:p>
    <w:bookmarkEnd w:id="25"/>
    <w:bookmarkStart w:id="26" w:name="important-notes-auditors-disclaimer"/>
    <w:p>
      <w:pPr>
        <w:pStyle w:val="Heading3"/>
      </w:pPr>
      <w:r>
        <w:t xml:space="preserve">Important Notes &amp; Auditor's Disclaimer</w:t>
      </w:r>
    </w:p>
    <w:p>
      <w:pPr>
        <w:pStyle w:val="FirstParagraph"/>
      </w:pPr>
      <w:r>
        <w:t xml:space="preserve">1. This Invoice has been prepared and issued by the undersigned Auditor in accordance with the professional standards of the Turkish Institute of Certified Public Accountants (TÜRMOB) and the regulatory framework governing audit engagements in Turkey Ankara.</w:t>
      </w:r>
    </w:p>
    <w:p>
      <w:pPr>
        <w:pStyle w:val="BodyText"/>
      </w:pPr>
      <w:r>
        <w:t xml:space="preserve">2. The services described herein constitute a statutory audit engagement. The Auditor's opinion on the financial statements is subject to the completion of all fieldwork procedures and the issuance of the final Auditor's report, which is a separate deliverable not covered by this Invoice.</w:t>
      </w:r>
    </w:p>
    <w:p>
      <w:pPr>
        <w:pStyle w:val="BodyText"/>
      </w:pPr>
      <w:r>
        <w:t xml:space="preserve">3. All work performed in Turkey Ankara has been conducted in compliance with the Turkish Commercial Code, the Turkish Tax Procedure Law (VUK), and applicable International Standards on Auditing. The Auditor confirms that no independence impairments were identified during the engagement period.</w:t>
      </w:r>
    </w:p>
    <w:p>
      <w:pPr>
        <w:pStyle w:val="BodyText"/>
      </w:pPr>
      <w:r>
        <w:t xml:space="preserve">4. The client acknowledges that this Invoice represents the final billing for the engagement period specified. Any additional procedures requested by the client beyond the original scope will be subject to a supplementary Invoice issued by the Auditor.</w:t>
      </w:r>
    </w:p>
    <w:p>
      <w:pPr>
        <w:pStyle w:val="BodyText"/>
      </w:pPr>
      <w:r>
        <w:t xml:space="preserve">5. This document is valid as a fiscal document (fatura) under Turkish tax law and must be retained by the client for a minimum of ten (10) years in accordance with the Turkish Tax Procedure Law.</w:t>
      </w:r>
    </w:p>
    <w:bookmarkEnd w:id="26"/>
    <w:p>
      <w:pPr>
        <w:pStyle w:val="BodyText"/>
      </w:pPr>
      <w:r>
        <w:t xml:space="preserve">Prepared and Issued by:</w:t>
      </w:r>
    </w:p>
    <w:p>
      <w:pPr>
        <w:pStyle w:val="BodyText"/>
      </w:pPr>
      <w:r>
        <w:rPr>
          <w:bCs/>
          <w:b/>
        </w:rPr>
        <w:t xml:space="preserve">Ms. Ayşe Kaya, CPA</w:t>
      </w:r>
      <w:r>
        <w:br/>
      </w:r>
      <w:r>
        <w:t xml:space="preserve">Lead Auditor</w:t>
      </w:r>
      <w:r>
        <w:br/>
      </w:r>
      <w:r>
        <w:t xml:space="preserve">Ankara Audit &amp; Compliance LLP</w:t>
      </w:r>
      <w:r>
        <w:br/>
      </w:r>
      <w:r>
        <w:t xml:space="preserve">Ankara, Turkey</w:t>
      </w:r>
    </w:p>
    <w:p>
      <w:pPr>
        <w:pStyle w:val="BodyText"/>
      </w:pPr>
      <w:r>
        <w:t xml:space="preserve">Received and Approved by:</w:t>
      </w:r>
    </w:p>
    <w:p>
      <w:pPr>
        <w:pStyle w:val="BodyText"/>
      </w:pPr>
      <w:r>
        <w:rPr>
          <w:bCs/>
          <w:b/>
        </w:rPr>
        <w:t xml:space="preserve">Mr. Emre Yılmaz, CFO</w:t>
      </w:r>
      <w:r>
        <w:br/>
      </w:r>
      <w:r>
        <w:t xml:space="preserve">Meridian Industrial Holdings A.Ş.</w:t>
      </w:r>
      <w:r>
        <w:br/>
      </w:r>
      <w:r>
        <w:t xml:space="preserve">Ankara, Turkey</w:t>
      </w:r>
    </w:p>
    <w:p>
      <w:pPr>
        <w:pStyle w:val="BodyText"/>
      </w:pPr>
      <w:r>
        <w:rPr>
          <w:bCs/>
          <w:b/>
        </w:rPr>
        <w:t xml:space="preserve">Ankara Audit &amp; Compliance LLP</w:t>
      </w:r>
      <w:r>
        <w:t xml:space="preserve"> </w:t>
      </w:r>
      <w:r>
        <w:t xml:space="preserve">| Çankaya, Kızılay Avenue No. 142/8, Ankara 06680, Turkey</w:t>
      </w:r>
    </w:p>
    <w:p>
      <w:pPr>
        <w:pStyle w:val="BodyText"/>
      </w:pPr>
      <w:r>
        <w:t xml:space="preserve">Registered with the Ankara Chamber of Certified Public Accountants (TÜRMOB) | License No: 2019-44521</w:t>
      </w:r>
    </w:p>
    <w:p>
      <w:pPr>
        <w:pStyle w:val="BodyText"/>
      </w:pPr>
      <w:r>
        <w:t xml:space="preserve">This Invoice was generated electronically and is valid without a physical stamp or signature in accordance with Turkish e-invoicing regulations (e-Fatura / e-Arşiv).</w:t>
      </w:r>
    </w:p>
    <w:p>
      <w:pPr>
        <w:pStyle w:val="BodyText"/>
      </w:pPr>
      <w:r>
        <w:t xml:space="preserve">For inquiries regarding this Invoice or the Auditor's engagement, please contact billing@ankaraaudit.com.tr or call +90 312 445 6789.</w:t>
      </w:r>
    </w:p>
    <w:p>
      <w:pPr>
        <w:pStyle w:val="BodyText"/>
      </w:pPr>
      <w:r>
        <w:t xml:space="preserve">© 2025 Ankara Audit &amp; Compliance LLP. All rights reserved. This document is the property of the issuing Auditor firm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Turkey Ankara</dc:title>
  <dc:creator/>
  <dc:language>en</dc:language>
  <cp:keywords/>
  <dcterms:created xsi:type="dcterms:W3CDTF">2026-10-10T05:06:20Z</dcterms:created>
  <dcterms:modified xsi:type="dcterms:W3CDTF">2026-10-10T05:06:20Z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