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audit-advisory-llp"/>
    <w:p>
      <w:pPr>
        <w:pStyle w:val="Heading1"/>
      </w:pPr>
      <w:r>
        <w:t xml:space="preserve">Meridian Audit &amp; Advisory LLP</w:t>
      </w:r>
    </w:p>
    <w:p>
      <w:pPr>
        <w:pStyle w:val="FirstParagraph"/>
      </w:pPr>
      <w:r>
        <w:t xml:space="preserve">Independent Auditor &amp; Financial Consultant</w:t>
      </w:r>
    </w:p>
    <w:p>
      <w:pPr>
        <w:pStyle w:val="BodyText"/>
      </w:pPr>
      <w:r>
        <w:t xml:space="preserve">Levent Business District, Büyükdere Caddesi No. 178</w:t>
      </w:r>
    </w:p>
    <w:p>
      <w:pPr>
        <w:pStyle w:val="BodyText"/>
      </w:pPr>
      <w:r>
        <w:t xml:space="preserve">34394 Şişli / Istanbul, Turkey</w:t>
      </w:r>
    </w:p>
    <w:p>
      <w:pPr>
        <w:pStyle w:val="BodyText"/>
      </w:pPr>
      <w:r>
        <w:t xml:space="preserve">Tax ID (VKN): 1234567890</w:t>
      </w:r>
    </w:p>
    <w:p>
      <w:pPr>
        <w:pStyle w:val="BodyText"/>
      </w:pPr>
      <w:r>
        <w:t xml:space="preserve">Phone: +90 212 555 0147 | Email: billing@meridianaudit.com.tr</w:t>
      </w:r>
    </w:p>
    <w:bookmarkEnd w:id="20"/>
    <w:bookmarkStart w:id="21" w:name="invoice"/>
    <w:p>
      <w:pPr>
        <w:pStyle w:val="Heading2"/>
      </w:pPr>
      <w:r>
        <w:t xml:space="preserve">INVOICE</w:t>
      </w:r>
    </w:p>
    <w:p>
      <w:pPr>
        <w:pStyle w:val="FirstParagraph"/>
      </w:pPr>
      <w:r>
        <w:t xml:space="preserve">Invoice No: INV-2025-TR-00482</w:t>
      </w:r>
    </w:p>
    <w:p>
      <w:pPr>
        <w:pStyle w:val="BodyText"/>
      </w:pPr>
      <w:r>
        <w:t xml:space="preserve">Date: 15 June 2025</w:t>
      </w:r>
    </w:p>
    <w:p>
      <w:pPr>
        <w:pStyle w:val="BodyText"/>
      </w:pPr>
      <w:r>
        <w:t xml:space="preserve">Due Date: 15 July 2025</w:t>
      </w:r>
    </w:p>
    <w:p>
      <w:pPr>
        <w:pStyle w:val="BodyText"/>
      </w:pPr>
      <w:r>
        <w:t xml:space="preserve">Country: Turkey Istanbul</w:t>
      </w:r>
    </w:p>
    <w:bookmarkEnd w:id="21"/>
    <w:bookmarkStart w:id="22" w:name="billed-to-client"/>
    <w:p>
      <w:pPr>
        <w:pStyle w:val="Heading3"/>
      </w:pPr>
      <w:r>
        <w:t xml:space="preserve">Billed To (Client)</w:t>
      </w:r>
    </w:p>
    <w:p>
      <w:pPr>
        <w:pStyle w:val="FirstParagraph"/>
      </w:pPr>
      <w:r>
        <w:rPr>
          <w:bCs/>
          <w:b/>
        </w:rPr>
        <w:t xml:space="preserve">Anadolu Holding A.Ş.</w:t>
      </w:r>
    </w:p>
    <w:p>
      <w:pPr>
        <w:pStyle w:val="BodyText"/>
      </w:pPr>
      <w:r>
        <w:t xml:space="preserve">Atatürk Bulvarı No. 245, 34360</w:t>
      </w:r>
    </w:p>
    <w:p>
      <w:pPr>
        <w:pStyle w:val="BodyText"/>
      </w:pPr>
      <w:r>
        <w:t xml:space="preserve">Beyoğlu / Istanbul, Turkey</w:t>
      </w:r>
    </w:p>
    <w:p>
      <w:pPr>
        <w:pStyle w:val="BodyText"/>
      </w:pPr>
      <w:r>
        <w:t xml:space="preserve">Tax ID (VKN): 9876543210</w:t>
      </w:r>
    </w:p>
    <w:p>
      <w:pPr>
        <w:pStyle w:val="BodyText"/>
      </w:pPr>
      <w:r>
        <w:t xml:space="preserve">Contact: Mr. Kemal Yılmaz, CFO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Jan 2025 – 31 May 2025</w:t>
      </w:r>
    </w:p>
    <w:p>
      <w:pPr>
        <w:pStyle w:val="BodyText"/>
      </w:pPr>
      <w:r>
        <w:rPr>
          <w:bCs/>
          <w:b/>
        </w:rPr>
        <w:t xml:space="preserve">Engagement Ref:</w:t>
      </w:r>
      <w:r>
        <w:t xml:space="preserve"> </w:t>
      </w:r>
      <w:r>
        <w:t xml:space="preserve">AUD-IST-2025-0117</w:t>
      </w:r>
    </w:p>
    <w:p>
      <w:pPr>
        <w:pStyle w:val="BodyText"/>
      </w:pPr>
      <w:r>
        <w:rPr>
          <w:bCs/>
          <w:b/>
        </w:rPr>
        <w:t xml:space="preserve">Lead Auditor:</w:t>
      </w:r>
      <w:r>
        <w:t xml:space="preserve"> </w:t>
      </w:r>
      <w:r>
        <w:t xml:space="preserve">Serhat Demir, CPA (TÜRMOB)</w:t>
      </w:r>
    </w:p>
    <w:p>
      <w:pPr>
        <w:pStyle w:val="BodyText"/>
      </w:pPr>
      <w:r>
        <w:rPr>
          <w:bCs/>
          <w:b/>
        </w:rPr>
        <w:t xml:space="preserve">Location:</w:t>
      </w:r>
      <w:r>
        <w:t xml:space="preserve"> </w:t>
      </w:r>
      <w:r>
        <w:t xml:space="preserve">Turkey Istanbul</w:t>
      </w:r>
    </w:p>
    <w:p>
      <w:pPr>
        <w:pStyle w:val="BodyText"/>
      </w:pPr>
      <w:r>
        <w:rPr>
          <w:bCs/>
          <w:b/>
        </w:rPr>
        <w:t xml:space="preserve">Currency:</w:t>
      </w:r>
      <w:r>
        <w:t xml:space="preserve"> </w:t>
      </w:r>
      <w:r>
        <w:t xml:space="preserve">Turkish Lira (TRY)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 / Scope</w:t>
            </w:r>
          </w:p>
        </w:tc>
        <w:tc>
          <w:tcPr/>
          <w:p>
            <w:pPr>
              <w:pStyle w:val="Compact"/>
              <w:jc w:val="left"/>
            </w:pPr>
            <w:r>
              <w:t xml:space="preserve">Rate (TRY)</w:t>
            </w:r>
          </w:p>
        </w:tc>
        <w:tc>
          <w:tcPr/>
          <w:p>
            <w:pPr>
              <w:pStyle w:val="Compact"/>
              <w:jc w:val="left"/>
            </w:pPr>
            <w:r>
              <w:t xml:space="preserve">Hours</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Annual Financial Statement Audit – Preparation and review of consolidated financial statements in compliance with Turkish Accounting Standards (TMS/IFRS) for the fiscal year ending 31 December 2024. The Auditor conducted fieldwork at the client's headquarters in Turkey Istanbul.</w:t>
            </w:r>
          </w:p>
        </w:tc>
        <w:tc>
          <w:tcPr/>
          <w:p>
            <w:pPr>
              <w:pStyle w:val="Compact"/>
              <w:jc w:val="left"/>
            </w:pPr>
            <w:r>
              <w:t xml:space="preserve">Jan – Mar 2025</w:t>
            </w:r>
          </w:p>
        </w:tc>
        <w:tc>
          <w:tcPr/>
          <w:p>
            <w:pPr>
              <w:pStyle w:val="Compact"/>
              <w:jc w:val="left"/>
            </w:pPr>
            <w:r>
              <w:t xml:space="preserve">2,800.00</w:t>
            </w:r>
          </w:p>
        </w:tc>
        <w:tc>
          <w:tcPr/>
          <w:p>
            <w:pPr>
              <w:pStyle w:val="Compact"/>
              <w:jc w:val="left"/>
            </w:pPr>
            <w:r>
              <w:t xml:space="preserve">120</w:t>
            </w:r>
          </w:p>
        </w:tc>
        <w:tc>
          <w:tcPr/>
          <w:p>
            <w:pPr>
              <w:pStyle w:val="Compact"/>
              <w:jc w:val="left"/>
            </w:pPr>
            <w:r>
              <w:t xml:space="preserve">336,000.00</w:t>
            </w:r>
          </w:p>
        </w:tc>
      </w:tr>
      <w:tr>
        <w:tc>
          <w:tcPr/>
          <w:p>
            <w:pPr>
              <w:pStyle w:val="Compact"/>
              <w:jc w:val="left"/>
            </w:pPr>
            <w:r>
              <w:t xml:space="preserve">2</w:t>
            </w:r>
          </w:p>
        </w:tc>
        <w:tc>
          <w:tcPr/>
          <w:p>
            <w:pPr>
              <w:pStyle w:val="Compact"/>
              <w:jc w:val="left"/>
            </w:pPr>
            <w:r>
              <w:t xml:space="preserve">Internal Control Assessment – Comprehensive evaluation of internal control frameworks, risk management systems, and compliance procedures across all operational divisions located in Turkey Istanbul and regional offices.</w:t>
            </w:r>
          </w:p>
        </w:tc>
        <w:tc>
          <w:tcPr/>
          <w:p>
            <w:pPr>
              <w:pStyle w:val="Compact"/>
              <w:jc w:val="left"/>
            </w:pPr>
            <w:r>
              <w:t xml:space="preserve">Feb – Apr 2025</w:t>
            </w:r>
          </w:p>
        </w:tc>
        <w:tc>
          <w:tcPr/>
          <w:p>
            <w:pPr>
              <w:pStyle w:val="Compact"/>
              <w:jc w:val="left"/>
            </w:pPr>
            <w:r>
              <w:t xml:space="preserve">2,400.00</w:t>
            </w:r>
          </w:p>
        </w:tc>
        <w:tc>
          <w:tcPr/>
          <w:p>
            <w:pPr>
              <w:pStyle w:val="Compact"/>
              <w:jc w:val="left"/>
            </w:pPr>
            <w:r>
              <w:t xml:space="preserve">85</w:t>
            </w:r>
          </w:p>
        </w:tc>
        <w:tc>
          <w:tcPr/>
          <w:p>
            <w:pPr>
              <w:pStyle w:val="Compact"/>
              <w:jc w:val="left"/>
            </w:pPr>
            <w:r>
              <w:t xml:space="preserve">204,000.00</w:t>
            </w:r>
          </w:p>
        </w:tc>
      </w:tr>
      <w:tr>
        <w:tc>
          <w:tcPr/>
          <w:p>
            <w:pPr>
              <w:pStyle w:val="Compact"/>
              <w:jc w:val="left"/>
            </w:pPr>
            <w:r>
              <w:t xml:space="preserve">3</w:t>
            </w:r>
          </w:p>
        </w:tc>
        <w:tc>
          <w:tcPr/>
          <w:p>
            <w:pPr>
              <w:pStyle w:val="Compact"/>
              <w:jc w:val="left"/>
            </w:pPr>
            <w:r>
              <w:t xml:space="preserve">Tax Compliance Review – Verification of corporate tax filings, VAT declarations, and withholding tax obligations in accordance with the Turkish Tax Procedure Law (VUK) and Revenue Administration requirements.</w:t>
            </w:r>
          </w:p>
        </w:tc>
        <w:tc>
          <w:tcPr/>
          <w:p>
            <w:pPr>
              <w:pStyle w:val="Compact"/>
              <w:jc w:val="left"/>
            </w:pPr>
            <w:r>
              <w:t xml:space="preserve">Mar – May 2025</w:t>
            </w:r>
          </w:p>
        </w:tc>
        <w:tc>
          <w:tcPr/>
          <w:p>
            <w:pPr>
              <w:pStyle w:val="Compact"/>
              <w:jc w:val="left"/>
            </w:pPr>
            <w:r>
              <w:t xml:space="preserve">2,200.00</w:t>
            </w:r>
          </w:p>
        </w:tc>
        <w:tc>
          <w:tcPr/>
          <w:p>
            <w:pPr>
              <w:pStyle w:val="Compact"/>
              <w:jc w:val="left"/>
            </w:pPr>
            <w:r>
              <w:t xml:space="preserve">60</w:t>
            </w:r>
          </w:p>
        </w:tc>
        <w:tc>
          <w:tcPr/>
          <w:p>
            <w:pPr>
              <w:pStyle w:val="Compact"/>
              <w:jc w:val="left"/>
            </w:pPr>
            <w:r>
              <w:t xml:space="preserve">132,000.00</w:t>
            </w:r>
          </w:p>
        </w:tc>
      </w:tr>
      <w:tr>
        <w:tc>
          <w:tcPr/>
          <w:p>
            <w:pPr>
              <w:pStyle w:val="Compact"/>
              <w:jc w:val="left"/>
            </w:pPr>
            <w:r>
              <w:t xml:space="preserve">4</w:t>
            </w:r>
          </w:p>
        </w:tc>
        <w:tc>
          <w:tcPr/>
          <w:p>
            <w:pPr>
              <w:pStyle w:val="Compact"/>
              <w:jc w:val="left"/>
            </w:pPr>
            <w:r>
              <w:t xml:space="preserve">Forensic Audit &amp; Fraud Investigation – Specialized investigation into irregular transactions identified in the Q1 2025 interim reporting cycle. The Auditor deployed a dedicated forensic team to the client's premises in Turkey Istanbul.</w:t>
            </w:r>
          </w:p>
        </w:tc>
        <w:tc>
          <w:tcPr/>
          <w:p>
            <w:pPr>
              <w:pStyle w:val="Compact"/>
              <w:jc w:val="left"/>
            </w:pPr>
            <w:r>
              <w:t xml:space="preserve">Apr – May 2025</w:t>
            </w:r>
          </w:p>
        </w:tc>
        <w:tc>
          <w:tcPr/>
          <w:p>
            <w:pPr>
              <w:pStyle w:val="Compact"/>
              <w:jc w:val="left"/>
            </w:pPr>
            <w:r>
              <w:t xml:space="preserve">3,500.00</w:t>
            </w:r>
          </w:p>
        </w:tc>
        <w:tc>
          <w:tcPr/>
          <w:p>
            <w:pPr>
              <w:pStyle w:val="Compact"/>
              <w:jc w:val="left"/>
            </w:pPr>
            <w:r>
              <w:t xml:space="preserve">45</w:t>
            </w:r>
          </w:p>
        </w:tc>
        <w:tc>
          <w:tcPr/>
          <w:p>
            <w:pPr>
              <w:pStyle w:val="Compact"/>
              <w:jc w:val="left"/>
            </w:pPr>
            <w:r>
              <w:t xml:space="preserve">157,500.00</w:t>
            </w:r>
          </w:p>
        </w:tc>
      </w:tr>
      <w:tr>
        <w:tc>
          <w:tcPr/>
          <w:p>
            <w:pPr>
              <w:pStyle w:val="Compact"/>
              <w:jc w:val="left"/>
            </w:pPr>
            <w:r>
              <w:t xml:space="preserve">5</w:t>
            </w:r>
          </w:p>
        </w:tc>
        <w:tc>
          <w:tcPr/>
          <w:p>
            <w:pPr>
              <w:pStyle w:val="Compact"/>
              <w:jc w:val="left"/>
            </w:pPr>
            <w:r>
              <w:t xml:space="preserve">Management Advisory &amp; Reporting – Monthly progress reports, board presentations, and advisory consultations provided by the Auditor to the executive management team of Anadolu Holding A.Ş. in Turkey Istanbul.</w:t>
            </w:r>
          </w:p>
        </w:tc>
        <w:tc>
          <w:tcPr/>
          <w:p>
            <w:pPr>
              <w:pStyle w:val="Compact"/>
              <w:jc w:val="left"/>
            </w:pPr>
            <w:r>
              <w:t xml:space="preserve">Jan – May 2025</w:t>
            </w:r>
          </w:p>
        </w:tc>
        <w:tc>
          <w:tcPr/>
          <w:p>
            <w:pPr>
              <w:pStyle w:val="Compact"/>
              <w:jc w:val="left"/>
            </w:pPr>
            <w:r>
              <w:t xml:space="preserve">1,800.00</w:t>
            </w:r>
          </w:p>
        </w:tc>
        <w:tc>
          <w:tcPr/>
          <w:p>
            <w:pPr>
              <w:pStyle w:val="Compact"/>
              <w:jc w:val="left"/>
            </w:pPr>
            <w:r>
              <w:t xml:space="preserve">50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IT General Controls Audit – Assessment of information systems, data integrity, access controls, and cybersecurity posture of the enterprise resource planning (ERP) infrastructure.</w:t>
            </w:r>
          </w:p>
        </w:tc>
        <w:tc>
          <w:tcPr/>
          <w:p>
            <w:pPr>
              <w:pStyle w:val="Compact"/>
              <w:jc w:val="left"/>
            </w:pPr>
            <w:r>
              <w:t xml:space="preserve">May 2025</w:t>
            </w:r>
          </w:p>
        </w:tc>
        <w:tc>
          <w:tcPr/>
          <w:p>
            <w:pPr>
              <w:pStyle w:val="Compact"/>
              <w:jc w:val="left"/>
            </w:pPr>
            <w:r>
              <w:t xml:space="preserve">2,600.00</w:t>
            </w:r>
          </w:p>
        </w:tc>
        <w:tc>
          <w:tcPr/>
          <w:p>
            <w:pPr>
              <w:pStyle w:val="Compact"/>
              <w:jc w:val="left"/>
            </w:pPr>
            <w:r>
              <w:t xml:space="preserve">30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1,000,500.00 TRY</w:t>
            </w:r>
          </w:p>
        </w:tc>
      </w:tr>
      <w:tr>
        <w:tc>
          <w:tcPr/>
          <w:p>
            <w:pPr>
              <w:pStyle w:val="Compact"/>
              <w:jc w:val="left"/>
            </w:pPr>
            <w:r>
              <w:t xml:space="preserve">VAT (KDV) – 20%</w:t>
            </w:r>
          </w:p>
        </w:tc>
        <w:tc>
          <w:tcPr/>
          <w:p>
            <w:pPr>
              <w:pStyle w:val="Compact"/>
              <w:jc w:val="right"/>
            </w:pPr>
            <w:r>
              <w:t xml:space="preserve">200,100.00 TRY</w:t>
            </w:r>
          </w:p>
        </w:tc>
      </w:tr>
      <w:tr>
        <w:tc>
          <w:tcPr/>
          <w:p>
            <w:pPr>
              <w:pStyle w:val="Compact"/>
              <w:jc w:val="left"/>
            </w:pPr>
            <w:r>
              <w:t xml:space="preserve">Withholding Tax (Stopaj) – 5%</w:t>
            </w:r>
          </w:p>
        </w:tc>
        <w:tc>
          <w:tcPr/>
          <w:p>
            <w:pPr>
              <w:pStyle w:val="Compact"/>
              <w:jc w:val="right"/>
            </w:pPr>
            <w:r>
              <w:t xml:space="preserve">(50,025.00) TRY</w:t>
            </w:r>
          </w:p>
        </w:tc>
      </w:tr>
      <w:tr>
        <w:tc>
          <w:tcPr/>
          <w:p>
            <w:pPr>
              <w:pStyle w:val="Compact"/>
              <w:jc w:val="left"/>
            </w:pPr>
            <w:r>
              <w:t xml:space="preserve">Grand Total Due</w:t>
            </w:r>
          </w:p>
        </w:tc>
        <w:tc>
          <w:tcPr/>
          <w:p>
            <w:pPr>
              <w:pStyle w:val="Compact"/>
              <w:jc w:val="right"/>
            </w:pPr>
            <w:r>
              <w:t xml:space="preserve">1,150,575.00 TRY</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i.e., no later than 15 July 2025. Payment shall be made via bank transfer to the account of Meridian Audit &amp; Advisory LLP, Ziraat Bankası, IBAN: TR33 0001 0002 3456 7890 1234 56, SWIFT: TCZBTR2A.</w:t>
      </w:r>
    </w:p>
    <w:p>
      <w:pPr>
        <w:pStyle w:val="BodyText"/>
      </w:pPr>
      <w:r>
        <w:t xml:space="preserve">Overdue payments shall accrue interest at the statutory rate determined by the Turkish Central Bank (TCMB) per the Law on the Protection of Debtors (6098). The Auditor reserves the right to suspend ongoing services and issue a formal dunning notice if payment is not received by the due date.</w:t>
      </w:r>
    </w:p>
    <w:p>
      <w:pPr>
        <w:pStyle w:val="BodyText"/>
      </w:pPr>
      <w:r>
        <w:t xml:space="preserve">All amounts stated in this Invoice are in Turkish Lira (TRY) and are subject to the prevailing tax regulations of the Republic of Turkey. The Auditor is registered with the Chamber of Certified Public Accountants (TÜRMOB) and operates under the supervision of the Ministry of Treasury and Finance in Turkey Istanbul.</w:t>
      </w:r>
    </w:p>
    <w:bookmarkEnd w:id="24"/>
    <w:bookmarkStart w:id="25" w:name="important-notes"/>
    <w:p>
      <w:pPr>
        <w:pStyle w:val="Heading3"/>
      </w:pPr>
      <w:r>
        <w:t xml:space="preserve">Important Notes</w:t>
      </w:r>
    </w:p>
    <w:p>
      <w:pPr>
        <w:pStyle w:val="FirstParagraph"/>
      </w:pPr>
      <w:r>
        <w:t xml:space="preserve">1. This Invoice has been prepared in accordance with the Turkish Accounting Standards and the e-Invoice (e-Fatura) regulations mandated by the Revenue Administration of Turkey. A digital copy of this Invoice has been transmitted via the GİB (Revenue Administration) electronic platform.</w:t>
      </w:r>
    </w:p>
    <w:p>
      <w:pPr>
        <w:pStyle w:val="BodyText"/>
      </w:pPr>
      <w:r>
        <w:t xml:space="preserve">2. The Auditor confirms that all services described herein were performed independently and in strict compliance with the International Standards on Auditing (ISA) as adopted in Turkey, as well as the professional ethics code of TÜRMOB.</w:t>
      </w:r>
    </w:p>
    <w:p>
      <w:pPr>
        <w:pStyle w:val="BodyText"/>
      </w:pPr>
      <w:r>
        <w:t xml:space="preserve">3. All working papers, audit evidence, and supporting documentation related to this engagement are retained by the Auditor at its office in Turkey Istanbul for a minimum period of ten (10) years in compliance with Turkish commercial law.</w:t>
      </w:r>
    </w:p>
    <w:p>
      <w:pPr>
        <w:pStyle w:val="BodyText"/>
      </w:pPr>
      <w:r>
        <w:t xml:space="preserve">4. Any disputes arising from this Invoice or the underlying engagement shall be subject to the exclusive jurisdiction of the courts in Istanbul, Turkey, and governed by the laws of the Republic of Turkey.</w:t>
      </w:r>
    </w:p>
    <w:p>
      <w:pPr>
        <w:pStyle w:val="BodyText"/>
      </w:pPr>
      <w:r>
        <w:t xml:space="preserve">5. This Invoice is valid only when accompanied by the original stamped and signed copy. Electronic copies are valid for accounting and tax purposes under the e-Invoice framework.</w:t>
      </w:r>
    </w:p>
    <w:bookmarkEnd w:id="25"/>
    <w:p>
      <w:pPr>
        <w:pStyle w:val="BodyText"/>
      </w:pPr>
      <w:r>
        <w:rPr>
          <w:bCs/>
          <w:b/>
        </w:rPr>
        <w:t xml:space="preserve">Prepared by:</w:t>
      </w:r>
      <w:r>
        <w:br/>
      </w:r>
      <w:r>
        <w:t xml:space="preserve">Serhat Demir, CPA</w:t>
      </w:r>
      <w:r>
        <w:br/>
      </w:r>
      <w:r>
        <w:t xml:space="preserve">Lead Auditor – Meridian Audit &amp; Advisory LLP</w:t>
      </w:r>
      <w:r>
        <w:br/>
      </w:r>
      <w:r>
        <w:t xml:space="preserve">TÜRMOB Member No: 45218</w:t>
      </w:r>
    </w:p>
    <w:p>
      <w:pPr>
        <w:pStyle w:val="BodyText"/>
      </w:pPr>
      <w:r>
        <w:rPr>
          <w:bCs/>
          <w:b/>
        </w:rPr>
        <w:t xml:space="preserve">Authorized Signatory:</w:t>
      </w:r>
      <w:r>
        <w:br/>
      </w:r>
      <w:r>
        <w:t xml:space="preserve">Ayşe Kaya, Partner</w:t>
      </w:r>
      <w:r>
        <w:br/>
      </w:r>
      <w:r>
        <w:t xml:space="preserve">Meridian Audit &amp; Advisory LLP</w:t>
      </w:r>
      <w:r>
        <w:br/>
      </w:r>
      <w:r>
        <w:t xml:space="preserve">Turkey Istanbul</w:t>
      </w:r>
    </w:p>
    <w:p>
      <w:pPr>
        <w:pStyle w:val="BodyText"/>
      </w:pPr>
      <w:r>
        <w:rPr>
          <w:bCs/>
          <w:b/>
        </w:rPr>
        <w:t xml:space="preserve">Meridian Audit &amp; Advisory LLP</w:t>
      </w:r>
      <w:r>
        <w:t xml:space="preserve"> </w:t>
      </w:r>
      <w:r>
        <w:t xml:space="preserve">– Independent Auditor &amp; Financial Advisory Firm</w:t>
      </w:r>
    </w:p>
    <w:p>
      <w:pPr>
        <w:pStyle w:val="BodyText"/>
      </w:pPr>
      <w:r>
        <w:t xml:space="preserve">Registered Office: Levent Business District, Büyükdere Caddesi No. 178, 34394 Şişli / Istanbul, Turkey</w:t>
      </w:r>
    </w:p>
    <w:p>
      <w:pPr>
        <w:pStyle w:val="BodyText"/>
      </w:pPr>
      <w:r>
        <w:t xml:space="preserve">TÜRMOB Registration No: 2019-004521 | MERSIS: 12345678901234</w:t>
      </w:r>
    </w:p>
    <w:p>
      <w:pPr>
        <w:pStyle w:val="BodyText"/>
      </w:pPr>
      <w:r>
        <w:t xml:space="preserve">This Invoice was generated electronically on 15 June 2025. For queries regarding this Invoice, please contact billing@meridianaudit.com.tr or call +90 212 555 0147.</w:t>
      </w:r>
    </w:p>
    <w:p>
      <w:pPr>
        <w:pStyle w:val="BodyText"/>
      </w:pPr>
      <w:r>
        <w:t xml:space="preserve">Thank you for engaging our Auditor services. We value our professional relationship and look forward to continuing to serve your organization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Turkey Istanbul</dc:title>
  <dc:creator/>
  <dc:language>en</dc:language>
  <cp:keywords/>
  <dcterms:created xsi:type="dcterms:W3CDTF">2026-10-10T02:31:59Z</dcterms:created>
  <dcterms:modified xsi:type="dcterms:W3CDTF">2026-10-10T02:31:59Z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