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audit-assurance-llc"/>
    <w:p>
      <w:pPr>
        <w:pStyle w:val="Heading1"/>
      </w:pPr>
      <w:r>
        <w:t xml:space="preserve">Al Noor Audit &amp; Assurance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2 445 6789 | Email: billing@alnooraudit.ae</w:t>
      </w:r>
    </w:p>
    <w:p>
      <w:pPr>
        <w:pStyle w:val="BodyText"/>
      </w:pPr>
      <w:r>
        <w:t xml:space="preserve">Trade License No: 1045872 | TRN: 100458723400003</w:t>
      </w:r>
    </w:p>
    <w:p>
      <w:pPr>
        <w:pStyle w:val="BodyText"/>
      </w:pPr>
      <w:r>
        <w:t xml:space="preserve">Certified Auditor – UAE Ministry of Finance</w:t>
      </w:r>
    </w:p>
    <w:bookmarkEnd w:id="20"/>
    <w:bookmarkStart w:id="21" w:name="invoice"/>
    <w:p>
      <w:pPr>
        <w:pStyle w:val="Heading2"/>
      </w:pPr>
      <w:r>
        <w:t xml:space="preserve">INVOICE</w:t>
      </w:r>
    </w:p>
    <w:p>
      <w:pPr>
        <w:pStyle w:val="FirstParagraph"/>
      </w:pPr>
      <w:r>
        <w:t xml:space="preserve">Invoice No: ANA-2025-00487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Emirates Maritime Logistics FZCO</w:t>
      </w:r>
    </w:p>
    <w:p>
      <w:pPr>
        <w:pStyle w:val="BodyText"/>
      </w:pPr>
      <w:r>
        <w:t xml:space="preserve">Attn: Mr. Khalid Al Mansoori, Chief Financial Officer</w:t>
      </w:r>
    </w:p>
    <w:p>
      <w:pPr>
        <w:pStyle w:val="BodyText"/>
      </w:pPr>
      <w:r>
        <w:t xml:space="preserve">Plot 45, Khalifa Industrial Zone (KIZAD)</w:t>
      </w:r>
    </w:p>
    <w:p>
      <w:pPr>
        <w:pStyle w:val="BodyText"/>
      </w:pPr>
      <w:r>
        <w:t xml:space="preserve">Abu Dhabi, United Arab Emirates</w:t>
      </w:r>
    </w:p>
    <w:p>
      <w:pPr>
        <w:pStyle w:val="BodyText"/>
      </w:pPr>
      <w:r>
        <w:t xml:space="preserve">VAT Registration No: 100987654300003</w:t>
      </w:r>
    </w:p>
    <w:p>
      <w:pPr>
        <w:pStyle w:val="BodyText"/>
      </w:pPr>
      <w:r>
        <w:t xml:space="preserve">Email: finance@emiratesmaritime.ae</w:t>
      </w:r>
    </w:p>
    <w:bookmarkEnd w:id="22"/>
    <w:bookmarkStart w:id="23" w:name="engagement-reference"/>
    <w:p>
      <w:pPr>
        <w:pStyle w:val="Heading3"/>
      </w:pPr>
      <w:r>
        <w:t xml:space="preserve">Engagement Reference</w:t>
      </w:r>
    </w:p>
    <w:p>
      <w:pPr>
        <w:pStyle w:val="FirstParagraph"/>
      </w:pPr>
      <w:r>
        <w:rPr>
          <w:bCs/>
          <w:b/>
        </w:rPr>
        <w:t xml:space="preserve">Annual Statutory Audit – FY 2024</w:t>
      </w:r>
    </w:p>
    <w:p>
      <w:pPr>
        <w:pStyle w:val="BodyText"/>
      </w:pPr>
      <w:r>
        <w:t xml:space="preserve">Contract No: EMA-2025-0031</w:t>
      </w:r>
    </w:p>
    <w:p>
      <w:pPr>
        <w:pStyle w:val="BodyText"/>
      </w:pPr>
      <w:r>
        <w:t xml:space="preserve">Auditor in Charge: Dr. Fatima Al Zahra, CPA</w:t>
      </w:r>
    </w:p>
    <w:p>
      <w:pPr>
        <w:pStyle w:val="BodyText"/>
      </w:pPr>
      <w:r>
        <w:t xml:space="preserve">Scope: Full Financial Statement Audit</w:t>
      </w:r>
    </w:p>
    <w:p>
      <w:pPr>
        <w:pStyle w:val="BodyText"/>
      </w:pPr>
      <w:r>
        <w:t xml:space="preserve">Regulatory Body: Abu Dhabi Securities Authority (ADSE)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Planning and risk assessment for the annual statutory audit of financial statements in accordance with UAE International Financial Reporting Standards (IFRS) as adopted in the United Arab Emirates Abu Dhabi jurisdiction</w:t>
            </w:r>
          </w:p>
        </w:tc>
        <w:tc>
          <w:tcPr/>
          <w:p>
            <w:pPr>
              <w:pStyle w:val="Compact"/>
              <w:jc w:val="left"/>
            </w:pPr>
            <w:r>
              <w:t xml:space="preserve">Jan – Feb 2025</w:t>
            </w:r>
          </w:p>
        </w:tc>
        <w:tc>
          <w:tcPr/>
          <w:p>
            <w:pPr>
              <w:pStyle w:val="Compact"/>
              <w:jc w:val="left"/>
            </w:pPr>
            <w:r>
              <w:t xml:space="preserve">1,200.00</w:t>
            </w:r>
          </w:p>
        </w:tc>
        <w:tc>
          <w:tcPr/>
          <w:p>
            <w:pPr>
              <w:pStyle w:val="Compact"/>
              <w:jc w:val="left"/>
            </w:pPr>
            <w:r>
              <w:t xml:space="preserve">48</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Substantive testing of revenue, cost of goods sold, and operating expense accounts including vouching, confirmation of receivables, and physical inventory verification at Abu Dhabi warehouse facilities</w:t>
            </w:r>
          </w:p>
        </w:tc>
        <w:tc>
          <w:tcPr/>
          <w:p>
            <w:pPr>
              <w:pStyle w:val="Compact"/>
              <w:jc w:val="left"/>
            </w:pPr>
            <w:r>
              <w:t xml:space="preserve">Mar – Apr 2025</w:t>
            </w:r>
          </w:p>
        </w:tc>
        <w:tc>
          <w:tcPr/>
          <w:p>
            <w:pPr>
              <w:pStyle w:val="Compact"/>
              <w:jc w:val="left"/>
            </w:pPr>
            <w:r>
              <w:t xml:space="preserve">1,100.00</w:t>
            </w:r>
          </w:p>
        </w:tc>
        <w:tc>
          <w:tcPr/>
          <w:p>
            <w:pPr>
              <w:pStyle w:val="Compact"/>
              <w:jc w:val="left"/>
            </w:pPr>
            <w:r>
              <w:t xml:space="preserve">120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Internal control evaluation and compliance review under the UAE Federal Decree-Law No. 2 of 2017 on the Regulation of the Audit Profession and the Abu Dhabi regulatory framework</w:t>
            </w:r>
          </w:p>
        </w:tc>
        <w:tc>
          <w:tcPr/>
          <w:p>
            <w:pPr>
              <w:pStyle w:val="Compact"/>
              <w:jc w:val="left"/>
            </w:pPr>
            <w:r>
              <w:t xml:space="preserve">Apr – May 2025</w:t>
            </w:r>
          </w:p>
        </w:tc>
        <w:tc>
          <w:tcPr/>
          <w:p>
            <w:pPr>
              <w:pStyle w:val="Compact"/>
              <w:jc w:val="left"/>
            </w:pPr>
            <w:r>
              <w:t xml:space="preserve">1,350.00</w:t>
            </w:r>
          </w:p>
        </w:tc>
        <w:tc>
          <w:tcPr/>
          <w:p>
            <w:pPr>
              <w:pStyle w:val="Compact"/>
              <w:jc w:val="left"/>
            </w:pPr>
            <w:r>
              <w:t xml:space="preserve">64</w:t>
            </w:r>
          </w:p>
        </w:tc>
        <w:tc>
          <w:tcPr/>
          <w:p>
            <w:pPr>
              <w:pStyle w:val="Compact"/>
              <w:jc w:val="left"/>
            </w:pPr>
            <w:r>
              <w:t xml:space="preserve">86,400.00</w:t>
            </w:r>
          </w:p>
        </w:tc>
      </w:tr>
      <w:tr>
        <w:tc>
          <w:tcPr/>
          <w:p>
            <w:pPr>
              <w:pStyle w:val="Compact"/>
              <w:jc w:val="left"/>
            </w:pPr>
            <w:r>
              <w:t xml:space="preserve">4</w:t>
            </w:r>
          </w:p>
        </w:tc>
        <w:tc>
          <w:tcPr/>
          <w:p>
            <w:pPr>
              <w:pStyle w:val="Compact"/>
              <w:jc w:val="left"/>
            </w:pPr>
            <w:r>
              <w:t xml:space="preserve">Preparation and issuance of the independent Auditor's report, management letter, and compliance certification for submission to the Abu Dhabi Department of Economic Development (DED)</w:t>
            </w:r>
          </w:p>
        </w:tc>
        <w:tc>
          <w:tcPr/>
          <w:p>
            <w:pPr>
              <w:pStyle w:val="Compact"/>
              <w:jc w:val="left"/>
            </w:pPr>
            <w:r>
              <w:t xml:space="preserve">May – Jun 2025</w:t>
            </w:r>
          </w:p>
        </w:tc>
        <w:tc>
          <w:tcPr/>
          <w:p>
            <w:pPr>
              <w:pStyle w:val="Compact"/>
              <w:jc w:val="left"/>
            </w:pPr>
            <w:r>
              <w:t xml:space="preserve">1,500.00</w:t>
            </w:r>
          </w:p>
        </w:tc>
        <w:tc>
          <w:tcPr/>
          <w:p>
            <w:pPr>
              <w:pStyle w:val="Compact"/>
              <w:jc w:val="left"/>
            </w:pPr>
            <w:r>
              <w:t xml:space="preserve">40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Post-audit consultation, board of directors presentation, and regulatory follow-up support for the United Arab Emirates Abu Dhabi free zone authority</w:t>
            </w:r>
          </w:p>
        </w:tc>
        <w:tc>
          <w:tcPr/>
          <w:p>
            <w:pPr>
              <w:pStyle w:val="Compact"/>
              <w:jc w:val="left"/>
            </w:pPr>
            <w:r>
              <w:t xml:space="preserve">Jun 2025</w:t>
            </w:r>
          </w:p>
        </w:tc>
        <w:tc>
          <w:tcPr/>
          <w:p>
            <w:pPr>
              <w:pStyle w:val="Compact"/>
              <w:jc w:val="left"/>
            </w:pPr>
            <w:r>
              <w:t xml:space="preserve">950.00</w:t>
            </w:r>
          </w:p>
        </w:tc>
        <w:tc>
          <w:tcPr/>
          <w:p>
            <w:pPr>
              <w:pStyle w:val="Compact"/>
              <w:jc w:val="left"/>
            </w:pPr>
            <w:r>
              <w:t xml:space="preserve">24</w:t>
            </w:r>
          </w:p>
        </w:tc>
        <w:tc>
          <w:tcPr/>
          <w:p>
            <w:pPr>
              <w:pStyle w:val="Compact"/>
              <w:jc w:val="left"/>
            </w:pPr>
            <w:r>
              <w:t xml:space="preserve">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358,800.00</w:t>
            </w:r>
          </w:p>
        </w:tc>
      </w:tr>
      <w:tr>
        <w:tc>
          <w:tcPr/>
          <w:p>
            <w:pPr>
              <w:pStyle w:val="Compact"/>
              <w:jc w:val="left"/>
            </w:pPr>
            <w:r>
              <w:t xml:space="preserve">VAT @ 5% (UAE Federal Tax Authority)</w:t>
            </w:r>
          </w:p>
        </w:tc>
        <w:tc>
          <w:tcPr/>
          <w:p>
            <w:pPr>
              <w:pStyle w:val="Compact"/>
              <w:jc w:val="left"/>
            </w:pPr>
            <w:r>
              <w:t xml:space="preserve">17,940.00</w:t>
            </w:r>
          </w:p>
        </w:tc>
      </w:tr>
      <w:tr>
        <w:tc>
          <w:tcPr/>
          <w:p>
            <w:pPr>
              <w:pStyle w:val="Compact"/>
              <w:jc w:val="left"/>
            </w:pPr>
            <w:r>
              <w:t xml:space="preserve">Discount – Early Engagement (2%)</w:t>
            </w:r>
          </w:p>
        </w:tc>
        <w:tc>
          <w:tcPr/>
          <w:p>
            <w:pPr>
              <w:pStyle w:val="Compact"/>
              <w:jc w:val="left"/>
            </w:pPr>
            <w:r>
              <w:t xml:space="preserve">(7,176.00)</w:t>
            </w:r>
          </w:p>
        </w:tc>
      </w:tr>
      <w:tr>
        <w:tc>
          <w:tcPr/>
          <w:p>
            <w:pPr>
              <w:pStyle w:val="Compact"/>
              <w:jc w:val="left"/>
            </w:pPr>
            <w:r>
              <w:t xml:space="preserve">TOTAL PAYABLE (AED)</w:t>
            </w:r>
          </w:p>
        </w:tc>
        <w:tc>
          <w:tcPr/>
          <w:p>
            <w:pPr>
              <w:pStyle w:val="Compact"/>
              <w:jc w:val="left"/>
            </w:pPr>
            <w:r>
              <w:t xml:space="preserve">369,564.00</w:t>
            </w:r>
          </w:p>
        </w:tc>
      </w:tr>
    </w:tbl>
    <w:bookmarkStart w:id="24" w:name="important-notes-regarding-this-invoice"/>
    <w:p>
      <w:pPr>
        <w:pStyle w:val="Heading3"/>
      </w:pPr>
      <w:r>
        <w:t xml:space="preserve">Important Notes Regarding This Invoice</w:t>
      </w:r>
    </w:p>
    <w:p>
      <w:pPr>
        <w:pStyle w:val="FirstParagraph"/>
      </w:pPr>
      <w:r>
        <w:t xml:space="preserve">This Invoice is issued in accordance with the UAE Federal Decree-Law No. 8 of 2017 on Value Added Tax and the regulations of the Federal Tax Authority of the United Arab Emirates Abu Dhabi region. The Auditor services described herein were performed in full compliance with the UAE Standards on Auditing (UAE SA) and the ethical requirements of the Abu Dhabi Institute of Chartered Accountants.</w:t>
      </w:r>
    </w:p>
    <w:p>
      <w:pPr>
        <w:pStyle w:val="BodyText"/>
      </w:pPr>
      <w:r>
        <w:t xml:space="preserve">Payment is to be made via bank transfer to: Emirates NBD Bank, Account Name: Al Noor Audit &amp; Assurance LLC, IBAN: AE070240000000000000000, SWIFT: EMRAAEAD. Please reference Invoice No. ANA-2025-00487 in your remittance advice.</w:t>
      </w:r>
    </w:p>
    <w:p>
      <w:pPr>
        <w:pStyle w:val="BodyText"/>
      </w:pPr>
      <w:r>
        <w:t xml:space="preserve">Any dispute regarding this Invoice must be raised in writing within fourteen (14) calendar days of the date of issue. Failure to remit payment by the due date of 15 July 2025 will incur a late payment penalty of 2% per month as stipulated in the engagement contract and in line with UAE commercial law.</w:t>
      </w:r>
    </w:p>
    <w:bookmarkEnd w:id="24"/>
    <w:bookmarkStart w:id="25" w:name="terms-and-conditions"/>
    <w:p>
      <w:pPr>
        <w:pStyle w:val="Heading3"/>
      </w:pPr>
      <w:r>
        <w:t xml:space="preserve">Terms and Conditions</w:t>
      </w:r>
    </w:p>
    <w:p>
      <w:pPr>
        <w:pStyle w:val="FirstParagraph"/>
      </w:pPr>
      <w:r>
        <w:t xml:space="preserve">1. This Invoice constitutes a binding financial document under the UAE Civil Transactions Law (Federal Law No. 5 of 1985) and the Commercial Transactions Law (Federal Law No. 18 of 1993) as applicable in Abu Dhabi, United Arab Emirates.</w:t>
      </w:r>
    </w:p>
    <w:p>
      <w:pPr>
        <w:pStyle w:val="BodyText"/>
      </w:pPr>
      <w:r>
        <w:t xml:space="preserve">2. The Auditor, Al Noor Audit &amp; Assurance LLC, shall not be held liable for any consequential losses arising from the use of the audit report beyond the scope defined in the engagement letter. The Auditor's professional judgment is exercised in accordance with the UAE Code of Ethics for Professional Accountants.</w:t>
      </w:r>
    </w:p>
    <w:p>
      <w:pPr>
        <w:pStyle w:val="BodyText"/>
      </w:pPr>
      <w:r>
        <w:t xml:space="preserve">3. All services rendered under this Invoice were conducted within the jurisdiction of Abu Dhabi, United Arab Emirates, and are subject to the oversight of the Abu Dhabi Securities Authority and the UAE Ministry of Finance.</w:t>
      </w:r>
    </w:p>
    <w:p>
      <w:pPr>
        <w:pStyle w:val="BodyText"/>
      </w:pPr>
      <w:r>
        <w:t xml:space="preserve">4. The client agrees to provide full access to all books, records, and personnel necessary for the Auditor to complete the statutory audit. Any delay in access beyond the agreed timeline will result in additional billing at the standard hourly rate.</w:t>
      </w:r>
    </w:p>
    <w:p>
      <w:pPr>
        <w:pStyle w:val="BodyText"/>
      </w:pPr>
      <w:r>
        <w:t xml:space="preserve">5. This Invoice is valid for a period of ninety (90) days from the date of issue. After this period, the Auditor reserves the right to reissue the Invoice with applicable adjustments.</w:t>
      </w:r>
    </w:p>
    <w:p>
      <w:pPr>
        <w:pStyle w:val="BodyText"/>
      </w:pPr>
      <w:r>
        <w:t xml:space="preserve">6. Governing law: The laws of the United Arab Emirates, with exclusive jurisdiction of the Courts of Abu Dhabi, United Arab Emirates, shall apply to any disputes arising from this Invoice or the underlying engagement.</w:t>
      </w:r>
    </w:p>
    <w:bookmarkEnd w:id="25"/>
    <w:p>
      <w:pPr>
        <w:pStyle w:val="BodyText"/>
      </w:pPr>
      <w:r>
        <w:t xml:space="preserve">Al Noor Audit &amp; Assurance LLC | Al Reem Island, Abu Dhabi, United Arab Emirates</w:t>
      </w:r>
    </w:p>
    <w:p>
      <w:pPr>
        <w:pStyle w:val="BodyText"/>
      </w:pPr>
      <w:r>
        <w:t xml:space="preserve">Registered with the Abu Dhabi Department of Economic Development | License No. 1045872</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 2025 Al Noor Audit &amp; Assurance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Arab Emirates Abu Dhabi</dc:title>
  <dc:creator/>
  <dc:language>en</dc:language>
  <cp:keywords/>
  <dcterms:created xsi:type="dcterms:W3CDTF">2026-10-10T03:14:10Z</dcterms:created>
  <dcterms:modified xsi:type="dcterms:W3CDTF">2026-10-10T03:14:10Z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