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al-noor-audit-assurance-llc"/>
    <w:p>
      <w:pPr>
        <w:pStyle w:val="Heading1"/>
      </w:pPr>
      <w:r>
        <w:t xml:space="preserve">Al Noor Audit &amp; Assurance LLC</w:t>
      </w:r>
    </w:p>
    <w:p>
      <w:pPr>
        <w:pStyle w:val="FirstParagraph"/>
      </w:pPr>
      <w:r>
        <w:t xml:space="preserve">Office 1204, Level 12, Burj Daman, DIFC</w:t>
      </w:r>
    </w:p>
    <w:p>
      <w:pPr>
        <w:pStyle w:val="BodyText"/>
      </w:pPr>
      <w:r>
        <w:t xml:space="preserve">Sheikh Zayed Road, Dubai, United Arab Emirates</w:t>
      </w:r>
    </w:p>
    <w:p>
      <w:pPr>
        <w:pStyle w:val="BodyText"/>
      </w:pPr>
      <w:r>
        <w:t xml:space="preserve">Tel: +971 4 555 8920 | Email: billing@alnooraudit.ae</w:t>
      </w:r>
    </w:p>
    <w:p>
      <w:pPr>
        <w:pStyle w:val="BodyText"/>
      </w:pPr>
      <w:r>
        <w:t xml:space="preserve">TRN: 100234567800003 | License No: DED-2019-445678</w:t>
      </w:r>
    </w:p>
    <w:p>
      <w:pPr>
        <w:pStyle w:val="BodyText"/>
      </w:pPr>
      <w:r>
        <w:t xml:space="preserve">Registered Auditor – UAE</w:t>
      </w:r>
    </w:p>
    <w:bookmarkEnd w:id="20"/>
    <w:bookmarkStart w:id="21" w:name="invoice"/>
    <w:p>
      <w:pPr>
        <w:pStyle w:val="Heading2"/>
      </w:pPr>
      <w:r>
        <w:t xml:space="preserve">INVOICE</w:t>
      </w:r>
    </w:p>
    <w:p>
      <w:pPr>
        <w:pStyle w:val="FirstParagraph"/>
      </w:pPr>
      <w:r>
        <w:t xml:space="preserve">Invoice No: ANA-2025-00487</w:t>
      </w:r>
    </w:p>
    <w:p>
      <w:pPr>
        <w:pStyle w:val="BodyText"/>
      </w:pPr>
      <w:r>
        <w:t xml:space="preserve">Date of Issue: 15 June 2025</w:t>
      </w:r>
    </w:p>
    <w:p>
      <w:pPr>
        <w:pStyle w:val="BodyText"/>
      </w:pPr>
      <w:r>
        <w:t xml:space="preserve">Due Date: 15 July 2025</w:t>
      </w:r>
    </w:p>
    <w:p>
      <w:pPr>
        <w:pStyle w:val="BodyText"/>
      </w:pPr>
      <w:r>
        <w:t xml:space="preserve">Service Period: 01 Jan 2025 – 31 May 2025</w:t>
      </w:r>
    </w:p>
    <w:bookmarkEnd w:id="21"/>
    <w:bookmarkStart w:id="22" w:name="billed-to"/>
    <w:p>
      <w:pPr>
        <w:pStyle w:val="Heading3"/>
      </w:pPr>
      <w:r>
        <w:t xml:space="preserve">Billed To</w:t>
      </w:r>
    </w:p>
    <w:p>
      <w:pPr>
        <w:pStyle w:val="FirstParagraph"/>
      </w:pPr>
      <w:r>
        <w:rPr>
          <w:bCs/>
          <w:b/>
        </w:rPr>
        <w:t xml:space="preserve">Emirates Horizon Trading FZE</w:t>
      </w:r>
    </w:p>
    <w:p>
      <w:pPr>
        <w:pStyle w:val="BodyText"/>
      </w:pPr>
      <w:r>
        <w:t xml:space="preserve">Attn: Mr. Khalid Al Mansoori, CFO</w:t>
      </w:r>
    </w:p>
    <w:p>
      <w:pPr>
        <w:pStyle w:val="BodyText"/>
      </w:pPr>
      <w:r>
        <w:t xml:space="preserve">Unit 7, Level 3, Gate Village 7</w:t>
      </w:r>
    </w:p>
    <w:p>
      <w:pPr>
        <w:pStyle w:val="BodyText"/>
      </w:pPr>
      <w:r>
        <w:t xml:space="preserve">Dubai Investment Park, Dubai</w:t>
      </w:r>
    </w:p>
    <w:p>
      <w:pPr>
        <w:pStyle w:val="BodyText"/>
      </w:pPr>
      <w:r>
        <w:t xml:space="preserve">United Arab Emirates</w:t>
      </w:r>
    </w:p>
    <w:p>
      <w:pPr>
        <w:pStyle w:val="BodyText"/>
      </w:pPr>
      <w:r>
        <w:t xml:space="preserve">TRN: 100987654300003</w:t>
      </w:r>
    </w:p>
    <w:p>
      <w:pPr>
        <w:pStyle w:val="BodyText"/>
      </w:pPr>
      <w:r>
        <w:t xml:space="preserve">Tel: +971 4 330 1122</w:t>
      </w:r>
    </w:p>
    <w:bookmarkEnd w:id="22"/>
    <w:bookmarkStart w:id="23" w:name="invoice-details"/>
    <w:p>
      <w:pPr>
        <w:pStyle w:val="Heading3"/>
      </w:pPr>
      <w:r>
        <w:t xml:space="preserve">Invoice Details</w:t>
      </w:r>
    </w:p>
    <w:p>
      <w:pPr>
        <w:pStyle w:val="FirstParagraph"/>
      </w:pPr>
      <w:r>
        <w:rPr>
          <w:bCs/>
          <w:b/>
        </w:rPr>
        <w:t xml:space="preserve">Service Type:</w:t>
      </w:r>
      <w:r>
        <w:t xml:space="preserve"> </w:t>
      </w:r>
      <w:r>
        <w:t xml:space="preserve">Annual Financial Audit</w:t>
      </w:r>
    </w:p>
    <w:p>
      <w:pPr>
        <w:pStyle w:val="BodyText"/>
      </w:pPr>
      <w:r>
        <w:rPr>
          <w:bCs/>
          <w:b/>
        </w:rPr>
        <w:t xml:space="preserve">Auditor Reference:</w:t>
      </w:r>
      <w:r>
        <w:t xml:space="preserve"> </w:t>
      </w:r>
      <w:r>
        <w:t xml:space="preserve">AUD-DXB-2025-112</w:t>
      </w:r>
    </w:p>
    <w:p>
      <w:pPr>
        <w:pStyle w:val="BodyText"/>
      </w:pPr>
      <w:r>
        <w:rPr>
          <w:bCs/>
          <w:b/>
        </w:rPr>
        <w:t xml:space="preserve">Engagement Lead:</w:t>
      </w:r>
      <w:r>
        <w:t xml:space="preserve"> </w:t>
      </w:r>
      <w:r>
        <w:t xml:space="preserve">Dr. Fatima Al Rashidi, CPA</w:t>
      </w:r>
    </w:p>
    <w:p>
      <w:pPr>
        <w:pStyle w:val="BodyText"/>
      </w:pPr>
      <w:r>
        <w:rPr>
          <w:bCs/>
          <w:b/>
        </w:rPr>
        <w:t xml:space="preserve">Regulatory Body:</w:t>
      </w:r>
      <w:r>
        <w:t xml:space="preserve"> </w:t>
      </w:r>
      <w:r>
        <w:t xml:space="preserve">UAE Ministry of Finance</w:t>
      </w:r>
    </w:p>
    <w:p>
      <w:pPr>
        <w:pStyle w:val="BodyText"/>
      </w:pPr>
      <w:r>
        <w:rPr>
          <w:bCs/>
          <w:b/>
        </w:rPr>
        <w:t xml:space="preserve">Payment Currency:</w:t>
      </w:r>
      <w:r>
        <w:t xml:space="preserve"> </w:t>
      </w:r>
      <w:r>
        <w:t xml:space="preserve">AED (UAE Dirham)</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Audit Service Description</w:t>
            </w:r>
          </w:p>
        </w:tc>
        <w:tc>
          <w:tcPr/>
          <w:p>
            <w:pPr>
              <w:pStyle w:val="Compact"/>
              <w:jc w:val="left"/>
            </w:pPr>
            <w:r>
              <w:t xml:space="preserve">Quantity / Hours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Annual Financial Statement Audit – Preparation and review of consolidated financial statements in compliance with IFRS and UAE Commercial Companies Law (Federal Law No. 32 of 2021)</w:t>
            </w:r>
          </w:p>
        </w:tc>
        <w:tc>
          <w:tcPr/>
          <w:p>
            <w:pPr>
              <w:pStyle w:val="Compact"/>
              <w:jc w:val="left"/>
            </w:pPr>
            <w:r>
              <w:t xml:space="preserve">120 hours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Internal Controls Assessment – Evaluation of internal control frameworks, risk management systems, and compliance procedures across all Dubai-based operational units</w:t>
            </w:r>
          </w:p>
        </w:tc>
        <w:tc>
          <w:tcPr/>
          <w:p>
            <w:pPr>
              <w:pStyle w:val="Compact"/>
              <w:jc w:val="left"/>
            </w:pPr>
            <w:r>
              <w:t xml:space="preserve">60 hours</w:t>
            </w:r>
          </w:p>
        </w:tc>
        <w:tc>
          <w:tcPr/>
          <w:p>
            <w:pPr>
              <w:pStyle w:val="Compact"/>
              <w:jc w:val="left"/>
            </w:pPr>
            <w:r>
              <w:t xml:space="preserve">420.00</w:t>
            </w:r>
          </w:p>
        </w:tc>
        <w:tc>
          <w:tcPr/>
          <w:p>
            <w:pPr>
              <w:pStyle w:val="Compact"/>
              <w:jc w:val="left"/>
            </w:pPr>
            <w:r>
              <w:t xml:space="preserve">25,200.00</w:t>
            </w:r>
          </w:p>
        </w:tc>
      </w:tr>
      <w:tr>
        <w:tc>
          <w:tcPr/>
          <w:p>
            <w:pPr>
              <w:pStyle w:val="Compact"/>
              <w:jc w:val="left"/>
            </w:pPr>
            <w:r>
              <w:t xml:space="preserve">3</w:t>
            </w:r>
          </w:p>
        </w:tc>
        <w:tc>
          <w:tcPr/>
          <w:p>
            <w:pPr>
              <w:pStyle w:val="Compact"/>
              <w:jc w:val="left"/>
            </w:pPr>
            <w:r>
              <w:t xml:space="preserve">Tax Compliance Audit – Verification of VAT filings, corporate tax obligations under UAE Federal Decree-Law No. 47 of 2022, and withholding tax compliance for the fiscal year</w:t>
            </w:r>
          </w:p>
        </w:tc>
        <w:tc>
          <w:tcPr/>
          <w:p>
            <w:pPr>
              <w:pStyle w:val="Compact"/>
              <w:jc w:val="left"/>
            </w:pPr>
            <w:r>
              <w:t xml:space="preserve">40 hours</w:t>
            </w:r>
          </w:p>
        </w:tc>
        <w:tc>
          <w:tcPr/>
          <w:p>
            <w:pPr>
              <w:pStyle w:val="Compact"/>
              <w:jc w:val="left"/>
            </w:pPr>
            <w:r>
              <w:t xml:space="preserve">400.00</w:t>
            </w:r>
          </w:p>
        </w:tc>
        <w:tc>
          <w:tcPr/>
          <w:p>
            <w:pPr>
              <w:pStyle w:val="Compact"/>
              <w:jc w:val="left"/>
            </w:pPr>
            <w:r>
              <w:t xml:space="preserve">16,000.00</w:t>
            </w:r>
          </w:p>
        </w:tc>
      </w:tr>
      <w:tr>
        <w:tc>
          <w:tcPr/>
          <w:p>
            <w:pPr>
              <w:pStyle w:val="Compact"/>
              <w:jc w:val="left"/>
            </w:pPr>
            <w:r>
              <w:t xml:space="preserve">4</w:t>
            </w:r>
          </w:p>
        </w:tc>
        <w:tc>
          <w:tcPr/>
          <w:p>
            <w:pPr>
              <w:pStyle w:val="Compact"/>
              <w:jc w:val="left"/>
            </w:pPr>
            <w:r>
              <w:t xml:space="preserve">Forensic Audit – Specialized investigation into intercompany transactions, related-party dealings, and revenue recognition practices in accordance with UAE Central Bank regulations</w:t>
            </w:r>
          </w:p>
        </w:tc>
        <w:tc>
          <w:tcPr/>
          <w:p>
            <w:pPr>
              <w:pStyle w:val="Compact"/>
              <w:jc w:val="left"/>
            </w:pPr>
            <w:r>
              <w:t xml:space="preserve">35 hours</w:t>
            </w:r>
          </w:p>
        </w:tc>
        <w:tc>
          <w:tcPr/>
          <w:p>
            <w:pPr>
              <w:pStyle w:val="Compact"/>
              <w:jc w:val="left"/>
            </w:pPr>
            <w:r>
              <w:t xml:space="preserve">550.00</w:t>
            </w:r>
          </w:p>
        </w:tc>
        <w:tc>
          <w:tcPr/>
          <w:p>
            <w:pPr>
              <w:pStyle w:val="Compact"/>
              <w:jc w:val="left"/>
            </w:pPr>
            <w:r>
              <w:t xml:space="preserve">19,250.00</w:t>
            </w:r>
          </w:p>
        </w:tc>
      </w:tr>
      <w:tr>
        <w:tc>
          <w:tcPr/>
          <w:p>
            <w:pPr>
              <w:pStyle w:val="Compact"/>
              <w:jc w:val="left"/>
            </w:pPr>
            <w:r>
              <w:t xml:space="preserve">5</w:t>
            </w:r>
          </w:p>
        </w:tc>
        <w:tc>
          <w:tcPr/>
          <w:p>
            <w:pPr>
              <w:pStyle w:val="Compact"/>
              <w:jc w:val="left"/>
            </w:pPr>
            <w:r>
              <w:t xml:space="preserve">Regulatory Reporting &amp; Filing – Preparation and submission of audit reports to the Dubai Financial Services Authority (DFSA), UAE Securities and Commodities Authority (SCA), and relevant free zone authorities</w:t>
            </w:r>
          </w:p>
        </w:tc>
        <w:tc>
          <w:tcPr/>
          <w:p>
            <w:pPr>
              <w:pStyle w:val="Compact"/>
              <w:jc w:val="left"/>
            </w:pPr>
            <w:r>
              <w:t xml:space="preserve">25 hours</w:t>
            </w:r>
          </w:p>
        </w:tc>
        <w:tc>
          <w:tcPr/>
          <w:p>
            <w:pPr>
              <w:pStyle w:val="Compact"/>
              <w:jc w:val="left"/>
            </w:pPr>
            <w:r>
              <w:t xml:space="preserve">380.00</w:t>
            </w:r>
          </w:p>
        </w:tc>
        <w:tc>
          <w:tcPr/>
          <w:p>
            <w:pPr>
              <w:pStyle w:val="Compact"/>
              <w:jc w:val="left"/>
            </w:pPr>
            <w:r>
              <w:t xml:space="preserve">9,500.00</w:t>
            </w:r>
          </w:p>
        </w:tc>
      </w:tr>
      <w:tr>
        <w:tc>
          <w:tcPr/>
          <w:p>
            <w:pPr>
              <w:pStyle w:val="Compact"/>
              <w:jc w:val="left"/>
            </w:pPr>
            <w:r>
              <w:t xml:space="preserve">6</w:t>
            </w:r>
          </w:p>
        </w:tc>
        <w:tc>
          <w:tcPr/>
          <w:p>
            <w:pPr>
              <w:pStyle w:val="Compact"/>
              <w:jc w:val="left"/>
            </w:pPr>
            <w:r>
              <w:t xml:space="preserve">Management Advisory &amp; Audit Committee Briefing – Presentation of audit findings, risk assessment summary, and remediation recommendations to the Board of Directors and Audit Committee in Dubai</w:t>
            </w:r>
          </w:p>
        </w:tc>
        <w:tc>
          <w:tcPr/>
          <w:p>
            <w:pPr>
              <w:pStyle w:val="Compact"/>
              <w:jc w:val="left"/>
            </w:pPr>
            <w:r>
              <w:t xml:space="preserve">10 hours</w:t>
            </w:r>
          </w:p>
        </w:tc>
        <w:tc>
          <w:tcPr/>
          <w:p>
            <w:pPr>
              <w:pStyle w:val="Compact"/>
              <w:jc w:val="left"/>
            </w:pPr>
            <w:r>
              <w:t xml:space="preserve">500.00</w:t>
            </w:r>
          </w:p>
        </w:tc>
        <w:tc>
          <w:tcPr/>
          <w:p>
            <w:pPr>
              <w:pStyle w:val="Compact"/>
              <w:jc w:val="left"/>
            </w:pPr>
            <w:r>
              <w:t xml:space="preserve">5,000.00</w:t>
            </w:r>
          </w:p>
        </w:tc>
      </w:tr>
    </w:tbl>
    <w:p>
      <w:pPr>
        <w:pStyle w:val="BodyText"/>
      </w:pPr>
      <w:r>
        <w:t xml:space="preserve">Subtotal:</w:t>
      </w:r>
      <w:r>
        <w:t xml:space="preserve"> </w:t>
      </w:r>
      <w:r>
        <w:t xml:space="preserve">AED 128,950.00</w:t>
      </w:r>
    </w:p>
    <w:p>
      <w:pPr>
        <w:pStyle w:val="BodyText"/>
      </w:pPr>
      <w:r>
        <w:t xml:space="preserve">VAT (5% – UAE Standard Rate):</w:t>
      </w:r>
      <w:r>
        <w:t xml:space="preserve"> </w:t>
      </w:r>
      <w:r>
        <w:t xml:space="preserve">AED 6,447.50</w:t>
      </w:r>
    </w:p>
    <w:p>
      <w:pPr>
        <w:pStyle w:val="BodyText"/>
      </w:pPr>
      <w:r>
        <w:t xml:space="preserve">Travel &amp; Accommodation (Dubai):</w:t>
      </w:r>
      <w:r>
        <w:t xml:space="preserve"> </w:t>
      </w:r>
      <w:r>
        <w:t xml:space="preserve">AED 3,200.00</w:t>
      </w:r>
    </w:p>
    <w:p>
      <w:pPr>
        <w:pStyle w:val="BodyText"/>
      </w:pPr>
      <w:r>
        <w:t xml:space="preserve">Document Certification &amp; Notarization Fees:</w:t>
      </w:r>
      <w:r>
        <w:t xml:space="preserve"> </w:t>
      </w:r>
      <w:r>
        <w:t xml:space="preserve">AED 1,150.00</w:t>
      </w:r>
    </w:p>
    <w:p>
      <w:pPr>
        <w:pStyle w:val="BodyText"/>
      </w:pPr>
      <w:r>
        <w:t xml:space="preserve">Grand Total Due:</w:t>
      </w:r>
      <w:r>
        <w:t xml:space="preserve"> </w:t>
      </w:r>
      <w:r>
        <w:t xml:space="preserve">AED 139,747.50</w:t>
      </w:r>
    </w:p>
    <w:bookmarkStart w:id="24" w:name="payment-terms-conditions"/>
    <w:p>
      <w:pPr>
        <w:pStyle w:val="Heading3"/>
      </w:pPr>
      <w:r>
        <w:t xml:space="preserve">Payment Terms &amp; Conditions</w:t>
      </w:r>
    </w:p>
    <w:p>
      <w:pPr>
        <w:pStyle w:val="FirstParagraph"/>
      </w:pPr>
      <w:r>
        <w:t xml:space="preserve">This invoice is issued by Al Noor Audit &amp; Assurance LLC, a licensed and registered Auditor firm operating in Dubai, United Arab Emirates, in full compliance with the UAE Federal Tax Authority regulations and the Dubai Department of Economy and Tourism (DET) professional services licensing requirements.</w:t>
      </w:r>
    </w:p>
    <w:p>
      <w:pPr>
        <w:numPr>
          <w:ilvl w:val="0"/>
          <w:numId w:val="1001"/>
        </w:numPr>
        <w:pStyle w:val="Compact"/>
      </w:pPr>
      <w:r>
        <w:t xml:space="preserve">Payment is due within thirty (30) calendar days from the date of issue, i.e., on or before 15 July 2025.</w:t>
      </w:r>
    </w:p>
    <w:p>
      <w:pPr>
        <w:numPr>
          <w:ilvl w:val="0"/>
          <w:numId w:val="1001"/>
        </w:numPr>
        <w:pStyle w:val="Compact"/>
      </w:pPr>
      <w:r>
        <w:t xml:space="preserve">Payment shall be made in UAE Dirhams (AED) via bank transfer to: Emirates NBD Bank, Account Name: Al Noor Audit &amp; Assurance LLC, IBAN: AE07 0240 0000 0000 1234 5678 9, SWIFT: EMBAEADXXX.</w:t>
      </w:r>
    </w:p>
    <w:p>
      <w:pPr>
        <w:numPr>
          <w:ilvl w:val="0"/>
          <w:numId w:val="1001"/>
        </w:numPr>
        <w:pStyle w:val="Compact"/>
      </w:pPr>
      <w:r>
        <w:t xml:space="preserve">A late payment penalty of 2% per month shall apply to any outstanding balance after the due date, in accordance with UAE commercial law.</w:t>
      </w:r>
    </w:p>
    <w:p>
      <w:pPr>
        <w:numPr>
          <w:ilvl w:val="0"/>
          <w:numId w:val="1001"/>
        </w:numPr>
        <w:pStyle w:val="Compact"/>
      </w:pPr>
      <w:r>
        <w:t xml:space="preserve">This invoice constitutes a valid tax document under UAE VAT Law (Federal Decree-Law No. 8 of 2017) and must be retained for a minimum of five (5) years as per UAE tax record-keeping requirements.</w:t>
      </w:r>
    </w:p>
    <w:p>
      <w:pPr>
        <w:numPr>
          <w:ilvl w:val="0"/>
          <w:numId w:val="1001"/>
        </w:numPr>
        <w:pStyle w:val="Compact"/>
      </w:pPr>
      <w:r>
        <w:t xml:space="preserve">All audit services rendered are subject to the engagement letter dated 05 December 2024 and the professional standards of the UAE Institute of Chartered Accountants (UICPA).</w:t>
      </w:r>
    </w:p>
    <w:bookmarkEnd w:id="24"/>
    <w:bookmarkStart w:id="25" w:name="additional-notes"/>
    <w:p>
      <w:pPr>
        <w:pStyle w:val="Heading3"/>
      </w:pPr>
      <w:r>
        <w:t xml:space="preserve">Additional Notes</w:t>
      </w:r>
    </w:p>
    <w:p>
      <w:pPr>
        <w:pStyle w:val="FirstParagraph"/>
      </w:pPr>
      <w:r>
        <w:t xml:space="preserve">The Auditor engagement referenced in this invoice covers the complete fiscal year ending 31 December 2024, with fieldwork conducted at the client's registered premises in Dubai Investment Park, Dubai, United Arab Emirates. All audit procedures were performed in accordance with International Standards on Auditing (ISA) as adopted by the UAE, and the resulting audit opinion will be issued no later than 30 June 2025. The Auditor confirms that all findings, working papers, and supporting documentation are maintained in secure digital and physical archives located in Dubai, in compliance with UAE data protection and confidentiality regulations. Should the client require any clarification regarding the line items, rates, or scope of audit services detailed in this invoice, please contact the billing department at billing@alnooraudit.ae or call +971 4 555 8920 during business hours (Sunday to Thursday, 9:00 AM – 6:00 PM GST).</w:t>
      </w:r>
    </w:p>
    <w:bookmarkEnd w:id="25"/>
    <w:p>
      <w:pPr>
        <w:pStyle w:val="BodyText"/>
      </w:pPr>
      <w:r>
        <w:rPr>
          <w:bCs/>
          <w:b/>
        </w:rPr>
        <w:t xml:space="preserve">Al Noor Audit &amp; Assurance LLC</w:t>
      </w:r>
      <w:r>
        <w:t xml:space="preserve"> </w:t>
      </w:r>
      <w:r>
        <w:t xml:space="preserve">– A Registered Auditor Firm in Dubai, United Arab Emirates</w:t>
      </w:r>
    </w:p>
    <w:p>
      <w:pPr>
        <w:pStyle w:val="BodyText"/>
      </w:pPr>
      <w:r>
        <w:t xml:space="preserve">Office 1204, Level 12, Burj Daman, DIFC, Sheikh Zayed Road, Dubai, UAE | TRN: 100234567800003</w:t>
      </w:r>
    </w:p>
    <w:p>
      <w:pPr>
        <w:pStyle w:val="BodyText"/>
      </w:pPr>
      <w:r>
        <w:t xml:space="preserve">This is a computer-generated invoice and does not require a physical signature. It is valid as a legal financial document in the United Arab Emirates.</w:t>
      </w:r>
    </w:p>
    <w:p>
      <w:pPr>
        <w:pStyle w:val="BodyText"/>
      </w:pPr>
      <w:r>
        <w:t xml:space="preserve">© 2025 Al Noor Audit &amp; Assurance LLC. All Rights Reserved. | Invoice ANA-2025-00487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United Arab Emirates Dubai</dc:title>
  <dc:creator/>
  <dc:language>en</dc:language>
  <cp:keywords/>
  <dcterms:created xsi:type="dcterms:W3CDTF">2026-10-10T07:32:19Z</dcterms:created>
  <dcterms:modified xsi:type="dcterms:W3CDTF">2026-10-10T07:32:19Z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