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meridian-audit-advisory-llp"/>
    <w:p>
      <w:pPr>
        <w:pStyle w:val="Heading1"/>
      </w:pPr>
      <w:r>
        <w:t xml:space="preserve">Meridian Audit &amp; Advisory LLP</w:t>
      </w:r>
    </w:p>
    <w:p>
      <w:pPr>
        <w:pStyle w:val="FirstParagraph"/>
      </w:pPr>
      <w:r>
        <w:t xml:space="preserve">142 Fleet Street, London EC4A 2BL</w:t>
      </w:r>
    </w:p>
    <w:p>
      <w:pPr>
        <w:pStyle w:val="BodyText"/>
      </w:pPr>
      <w:r>
        <w:t xml:space="preserve">United Kingdom</w:t>
      </w:r>
    </w:p>
    <w:p>
      <w:pPr>
        <w:pStyle w:val="BodyText"/>
      </w:pPr>
      <w:r>
        <w:t xml:space="preserve">Tel: +44 (0)20 7946 0821</w:t>
      </w:r>
    </w:p>
    <w:p>
      <w:pPr>
        <w:pStyle w:val="BodyText"/>
      </w:pPr>
      <w:r>
        <w:t xml:space="preserve">Email: billing@meridianaudit.co.uk</w:t>
      </w:r>
    </w:p>
    <w:p>
      <w:pPr>
        <w:pStyle w:val="BodyText"/>
      </w:pPr>
      <w:r>
        <w:t xml:space="preserve">VAT Registration No: GB 987654321</w:t>
      </w:r>
    </w:p>
    <w:p>
      <w:pPr>
        <w:pStyle w:val="BodyText"/>
      </w:pPr>
      <w:r>
        <w:t xml:space="preserve">Company Reg No: 08765432</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MA-2025-00487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Reference:</w:t>
      </w:r>
      <w:r>
        <w:t xml:space="preserve"> </w:t>
      </w:r>
      <w:r>
        <w:t xml:space="preserve">AUD-LON-2025-Q2</w:t>
      </w:r>
    </w:p>
    <w:bookmarkEnd w:id="21"/>
    <w:bookmarkStart w:id="22" w:name="bill-to"/>
    <w:p>
      <w:pPr>
        <w:pStyle w:val="Heading3"/>
      </w:pPr>
      <w:r>
        <w:t xml:space="preserve">Bill To</w:t>
      </w:r>
    </w:p>
    <w:p>
      <w:pPr>
        <w:pStyle w:val="FirstParagraph"/>
      </w:pPr>
      <w:r>
        <w:rPr>
          <w:bCs/>
          <w:b/>
        </w:rPr>
        <w:t xml:space="preserve">Thames Financial Holdings PLC</w:t>
      </w:r>
    </w:p>
    <w:p>
      <w:pPr>
        <w:pStyle w:val="BodyText"/>
      </w:pPr>
      <w:r>
        <w:t xml:space="preserve">Attention: Mr. David Ashworth, Chief Financial Officer</w:t>
      </w:r>
    </w:p>
    <w:p>
      <w:pPr>
        <w:pStyle w:val="BodyText"/>
      </w:pPr>
      <w:r>
        <w:t xml:space="preserve">28 Cannon Street, London EC4N 6AG</w:t>
      </w:r>
    </w:p>
    <w:p>
      <w:pPr>
        <w:pStyle w:val="BodyText"/>
      </w:pPr>
      <w:r>
        <w:t xml:space="preserve">United Kingdom</w:t>
      </w:r>
    </w:p>
    <w:p>
      <w:pPr>
        <w:pStyle w:val="BodyText"/>
      </w:pPr>
      <w:r>
        <w:t xml:space="preserve">VAT No: GB 123456789</w:t>
      </w:r>
    </w:p>
    <w:p>
      <w:pPr>
        <w:pStyle w:val="BodyText"/>
      </w:pPr>
      <w:r>
        <w:t xml:space="preserve">Company Reg No: 05432109</w:t>
      </w:r>
    </w:p>
    <w:bookmarkEnd w:id="22"/>
    <w:bookmarkStart w:id="23" w:name="prepared-by-auditor"/>
    <w:p>
      <w:pPr>
        <w:pStyle w:val="Heading3"/>
      </w:pPr>
      <w:r>
        <w:t xml:space="preserve">Prepared By (Auditor)</w:t>
      </w:r>
    </w:p>
    <w:p>
      <w:pPr>
        <w:pStyle w:val="FirstParagraph"/>
      </w:pPr>
      <w:r>
        <w:rPr>
          <w:bCs/>
          <w:b/>
        </w:rPr>
        <w:t xml:space="preserve">Ms. Eleanor Whitfield, FCA, FCAudit</w:t>
      </w:r>
    </w:p>
    <w:p>
      <w:pPr>
        <w:pStyle w:val="BodyText"/>
      </w:pPr>
      <w:r>
        <w:t xml:space="preserve">Lead Auditor, Meridian Audit &amp; Advisory LLP</w:t>
      </w:r>
    </w:p>
    <w:p>
      <w:pPr>
        <w:pStyle w:val="BodyText"/>
      </w:pPr>
      <w:r>
        <w:t xml:space="preserve">ICAEW Membership No: 1048723</w:t>
      </w:r>
    </w:p>
    <w:p>
      <w:pPr>
        <w:pStyle w:val="BodyText"/>
      </w:pPr>
      <w:r>
        <w:t xml:space="preserve">London, United Kingdom</w:t>
      </w:r>
    </w:p>
    <w:p>
      <w:pPr>
        <w:pStyle w:val="BodyText"/>
      </w:pPr>
      <w:r>
        <w:t xml:space="preserve">Professional Indemnity Insurance: Valid</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Audit Services</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Annual statutory audit of financial statements in accordance with UK GAAP and the Companies Act 2006. Includes examination of the balance sheet, profit and loss account, and cash flow statement for the financial year ended 31 March 2025.</w:t>
            </w:r>
          </w:p>
        </w:tc>
        <w:tc>
          <w:tcPr/>
          <w:p>
            <w:pPr>
              <w:pStyle w:val="Compact"/>
              <w:jc w:val="left"/>
            </w:pPr>
            <w:r>
              <w:t xml:space="preserve">Jan – Mar 2025</w:t>
            </w:r>
          </w:p>
        </w:tc>
        <w:tc>
          <w:tcPr/>
          <w:p>
            <w:pPr>
              <w:pStyle w:val="Compact"/>
              <w:jc w:val="left"/>
            </w:pPr>
            <w:r>
              <w:t xml:space="preserve">120</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Internal control assessment and risk-based audit planning. The Auditor conducted a comprehensive review of Thames Financial Holdings PLC internal control frameworks, identified material weaknesses, and prepared a detailed audit strategy document for the London-based operations.</w:t>
            </w:r>
          </w:p>
        </w:tc>
        <w:tc>
          <w:tcPr/>
          <w:p>
            <w:pPr>
              <w:pStyle w:val="Compact"/>
              <w:jc w:val="left"/>
            </w:pPr>
            <w:r>
              <w:t xml:space="preserve">Feb 2025</w:t>
            </w:r>
          </w:p>
        </w:tc>
        <w:tc>
          <w:tcPr/>
          <w:p>
            <w:pPr>
              <w:pStyle w:val="Compact"/>
              <w:jc w:val="left"/>
            </w:pPr>
            <w:r>
              <w:t xml:space="preserve">45</w:t>
            </w:r>
          </w:p>
        </w:tc>
        <w:tc>
          <w:tcPr/>
          <w:p>
            <w:pPr>
              <w:pStyle w:val="Compact"/>
              <w:jc w:val="left"/>
            </w:pPr>
            <w:r>
              <w:t xml:space="preserve">£165.00</w:t>
            </w:r>
          </w:p>
        </w:tc>
        <w:tc>
          <w:tcPr/>
          <w:p>
            <w:pPr>
              <w:pStyle w:val="Compact"/>
              <w:jc w:val="left"/>
            </w:pPr>
            <w:r>
              <w:t xml:space="preserve">£7,425.00</w:t>
            </w:r>
          </w:p>
        </w:tc>
      </w:tr>
      <w:tr>
        <w:tc>
          <w:tcPr/>
          <w:p>
            <w:pPr>
              <w:pStyle w:val="Compact"/>
              <w:jc w:val="left"/>
            </w:pPr>
            <w:r>
              <w:t xml:space="preserve">03</w:t>
            </w:r>
          </w:p>
        </w:tc>
        <w:tc>
          <w:tcPr/>
          <w:p>
            <w:pPr>
              <w:pStyle w:val="Compact"/>
              <w:jc w:val="left"/>
            </w:pPr>
            <w:r>
              <w:t xml:space="preserve">Subsidiary consolidation audit. The Auditor performed substantive testing on three UK-based subsidiaries located in London, Manchester, and Birmingham, ensuring compliance with FRS 102 and proper consolidation methodology.</w:t>
            </w:r>
          </w:p>
        </w:tc>
        <w:tc>
          <w:tcPr/>
          <w:p>
            <w:pPr>
              <w:pStyle w:val="Compact"/>
              <w:jc w:val="left"/>
            </w:pPr>
            <w:r>
              <w:t xml:space="preserve">Feb – Mar 2025</w:t>
            </w:r>
          </w:p>
        </w:tc>
        <w:tc>
          <w:tcPr/>
          <w:p>
            <w:pPr>
              <w:pStyle w:val="Compact"/>
              <w:jc w:val="left"/>
            </w:pPr>
            <w:r>
              <w:t xml:space="preserve">80</w:t>
            </w:r>
          </w:p>
        </w:tc>
        <w:tc>
          <w:tcPr/>
          <w:p>
            <w:pPr>
              <w:pStyle w:val="Compact"/>
              <w:jc w:val="left"/>
            </w:pPr>
            <w:r>
              <w:t xml:space="preserve">£175.00</w:t>
            </w:r>
          </w:p>
        </w:tc>
        <w:tc>
          <w:tcPr/>
          <w:p>
            <w:pPr>
              <w:pStyle w:val="Compact"/>
              <w:jc w:val="left"/>
            </w:pPr>
            <w:r>
              <w:t xml:space="preserve">£14,000.00</w:t>
            </w:r>
          </w:p>
        </w:tc>
      </w:tr>
      <w:tr>
        <w:tc>
          <w:tcPr/>
          <w:p>
            <w:pPr>
              <w:pStyle w:val="Compact"/>
              <w:jc w:val="left"/>
            </w:pPr>
            <w:r>
              <w:t xml:space="preserve">04</w:t>
            </w:r>
          </w:p>
        </w:tc>
        <w:tc>
          <w:tcPr/>
          <w:p>
            <w:pPr>
              <w:pStyle w:val="Compact"/>
              <w:jc w:val="left"/>
            </w:pPr>
            <w:r>
              <w:t xml:space="preserve">Going concern assessment and management letter preparation. The Auditor evaluated the entity's ability to continue as a going concern for a period of not less than twelve months from the date of approval of the financial statements, and issued a management letter detailing observations and recommendations.</w:t>
            </w:r>
          </w:p>
        </w:tc>
        <w:tc>
          <w:tcPr/>
          <w:p>
            <w:pPr>
              <w:pStyle w:val="Compact"/>
              <w:jc w:val="left"/>
            </w:pPr>
            <w:r>
              <w:t xml:space="preserve">Mar 2025</w:t>
            </w:r>
          </w:p>
        </w:tc>
        <w:tc>
          <w:tcPr/>
          <w:p>
            <w:pPr>
              <w:pStyle w:val="Compact"/>
              <w:jc w:val="left"/>
            </w:pPr>
            <w:r>
              <w:t xml:space="preserve">30</w:t>
            </w:r>
          </w:p>
        </w:tc>
        <w:tc>
          <w:tcPr/>
          <w:p>
            <w:pPr>
              <w:pStyle w:val="Compact"/>
              <w:jc w:val="left"/>
            </w:pPr>
            <w:r>
              <w:t xml:space="preserve">£195.00</w:t>
            </w:r>
          </w:p>
        </w:tc>
        <w:tc>
          <w:tcPr/>
          <w:p>
            <w:pPr>
              <w:pStyle w:val="Compact"/>
              <w:jc w:val="left"/>
            </w:pPr>
            <w:r>
              <w:t xml:space="preserve">£5,850.00</w:t>
            </w:r>
          </w:p>
        </w:tc>
      </w:tr>
      <w:tr>
        <w:tc>
          <w:tcPr/>
          <w:p>
            <w:pPr>
              <w:pStyle w:val="Compact"/>
              <w:jc w:val="left"/>
            </w:pPr>
            <w:r>
              <w:t xml:space="preserve">05</w:t>
            </w:r>
          </w:p>
        </w:tc>
        <w:tc>
          <w:tcPr/>
          <w:p>
            <w:pPr>
              <w:pStyle w:val="Compact"/>
              <w:jc w:val="left"/>
            </w:pPr>
            <w:r>
              <w:t xml:space="preserve">Regulatory compliance review for United Kingdom London financial services operations. The Auditor verified adherence to FCA and PRA regulatory requirements, including AML/KYC procedures, capital adequacy reporting, and client asset safeguarding obligations applicable to entities operating in London, United Kingdom.</w:t>
            </w:r>
          </w:p>
        </w:tc>
        <w:tc>
          <w:tcPr/>
          <w:p>
            <w:pPr>
              <w:pStyle w:val="Compact"/>
              <w:jc w:val="left"/>
            </w:pPr>
            <w:r>
              <w:t xml:space="preserve">Mar 2025</w:t>
            </w:r>
          </w:p>
        </w:tc>
        <w:tc>
          <w:tcPr/>
          <w:p>
            <w:pPr>
              <w:pStyle w:val="Compact"/>
              <w:jc w:val="left"/>
            </w:pPr>
            <w:r>
              <w:t xml:space="preserve">40</w:t>
            </w:r>
          </w:p>
        </w:tc>
        <w:tc>
          <w:tcPr/>
          <w:p>
            <w:pPr>
              <w:pStyle w:val="Compact"/>
              <w:jc w:val="left"/>
            </w:pPr>
            <w:r>
              <w:t xml:space="preserve">£180.00</w:t>
            </w:r>
          </w:p>
        </w:tc>
        <w:tc>
          <w:tcPr/>
          <w:p>
            <w:pPr>
              <w:pStyle w:val="Compact"/>
              <w:jc w:val="left"/>
            </w:pPr>
            <w:r>
              <w:t xml:space="preserve">£7,200.00</w:t>
            </w:r>
          </w:p>
        </w:tc>
      </w:tr>
      <w:tr>
        <w:tc>
          <w:tcPr/>
          <w:p>
            <w:pPr>
              <w:pStyle w:val="Compact"/>
              <w:jc w:val="left"/>
            </w:pPr>
            <w:r>
              <w:t xml:space="preserve">06</w:t>
            </w:r>
          </w:p>
        </w:tc>
        <w:tc>
          <w:tcPr/>
          <w:p>
            <w:pPr>
              <w:pStyle w:val="Compact"/>
              <w:jc w:val="left"/>
            </w:pPr>
            <w:r>
              <w:t xml:space="preserve">Final audit report, opinion letter, and filing support. The Auditor prepared the independent auditor's report in accordance with ISAs (UK and Ireland), issued an unqualified opinion, and provided support for the filing of accounts with Companies House in London, United Kingdom.</w:t>
            </w:r>
          </w:p>
        </w:tc>
        <w:tc>
          <w:tcPr/>
          <w:p>
            <w:pPr>
              <w:pStyle w:val="Compact"/>
              <w:jc w:val="left"/>
            </w:pPr>
            <w:r>
              <w:t xml:space="preserve">Apr 2025</w:t>
            </w:r>
          </w:p>
        </w:tc>
        <w:tc>
          <w:tcPr/>
          <w:p>
            <w:pPr>
              <w:pStyle w:val="Compact"/>
              <w:jc w:val="left"/>
            </w:pPr>
            <w:r>
              <w:t xml:space="preserve">25</w:t>
            </w:r>
          </w:p>
        </w:tc>
        <w:tc>
          <w:tcPr/>
          <w:p>
            <w:pPr>
              <w:pStyle w:val="Compact"/>
              <w:jc w:val="left"/>
            </w:pPr>
            <w:r>
              <w:t xml:space="preserve">£200.00</w:t>
            </w:r>
          </w:p>
        </w:tc>
        <w:tc>
          <w:tcPr/>
          <w:p>
            <w:pPr>
              <w:pStyle w:val="Compact"/>
              <w:jc w:val="left"/>
            </w:pPr>
            <w:r>
              <w:t xml:space="preserve">£5,000.00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left"/>
            </w:pPr>
            <w:r>
              <w:t xml:space="preserve">£61,675.00</w:t>
            </w:r>
          </w:p>
        </w:tc>
      </w:tr>
      <w:tr>
        <w:tc>
          <w:tcPr/>
          <w:p>
            <w:pPr>
              <w:pStyle w:val="Compact"/>
              <w:jc w:val="left"/>
            </w:pPr>
            <w:r>
              <w:t xml:space="preserve">VAT @ 20%</w:t>
            </w:r>
            <w:r>
              <w:t xml:space="preserve"> </w:t>
            </w:r>
            <w:r>
              <w:t xml:space="preserve">UK VAT</w:t>
            </w:r>
          </w:p>
        </w:tc>
        <w:tc>
          <w:tcPr/>
          <w:p>
            <w:pPr>
              <w:pStyle w:val="Compact"/>
              <w:jc w:val="left"/>
            </w:pPr>
            <w:r>
              <w:t xml:space="preserve">£12,335.00</w:t>
            </w:r>
          </w:p>
        </w:tc>
      </w:tr>
      <w:tr>
        <w:tc>
          <w:tcPr/>
          <w:p>
            <w:pPr>
              <w:pStyle w:val="Compact"/>
              <w:jc w:val="left"/>
            </w:pPr>
            <w:r>
              <w:t xml:space="preserve">Total Amount Due (GBP)</w:t>
            </w:r>
          </w:p>
        </w:tc>
        <w:tc>
          <w:tcPr/>
          <w:p>
            <w:pPr>
              <w:pStyle w:val="Compact"/>
              <w:jc w:val="left"/>
            </w:pPr>
            <w:r>
              <w:t xml:space="preserve">£74,010.00</w:t>
            </w:r>
          </w:p>
        </w:tc>
      </w:tr>
    </w:tbl>
    <w:bookmarkStart w:id="24" w:name="payment-terms-instructions"/>
    <w:p>
      <w:pPr>
        <w:pStyle w:val="Heading3"/>
      </w:pPr>
      <w:r>
        <w:t xml:space="preserve">Payment Terms &amp; Instructions</w:t>
      </w:r>
    </w:p>
    <w:p>
      <w:pPr>
        <w:pStyle w:val="FirstParagraph"/>
      </w:pPr>
      <w:r>
        <w:t xml:space="preserve">This Invoice is payable within thirty (30) calendar days from the date of issue, i.e., no later than</w:t>
      </w:r>
      <w:r>
        <w:t xml:space="preserve"> </w:t>
      </w:r>
      <w:r>
        <w:rPr>
          <w:bCs/>
          <w:b/>
        </w:rPr>
        <w:t xml:space="preserve">15 July 2025</w:t>
      </w:r>
      <w:r>
        <w:t xml:space="preserve">. Payment is to be made by BACS transfer to the following account:</w:t>
      </w:r>
    </w:p>
    <w:p>
      <w:pPr>
        <w:pStyle w:val="BodyText"/>
      </w:pPr>
      <w:r>
        <w:rPr>
          <w:bCs/>
          <w:b/>
        </w:rPr>
        <w:t xml:space="preserve">Bank:</w:t>
      </w:r>
      <w:r>
        <w:t xml:space="preserve"> </w:t>
      </w:r>
      <w:r>
        <w:t xml:space="preserve">Barclays Bank PLC, London, United Kingdom</w:t>
      </w:r>
    </w:p>
    <w:p>
      <w:pPr>
        <w:pStyle w:val="BodyText"/>
      </w:pPr>
      <w:r>
        <w:rPr>
          <w:bCs/>
          <w:b/>
        </w:rPr>
        <w:t xml:space="preserve">Sort Code:</w:t>
      </w:r>
      <w:r>
        <w:t xml:space="preserve"> </w:t>
      </w:r>
      <w:r>
        <w:t xml:space="preserve">20-15-88</w:t>
      </w:r>
    </w:p>
    <w:p>
      <w:pPr>
        <w:pStyle w:val="BodyText"/>
      </w:pPr>
      <w:r>
        <w:rPr>
          <w:bCs/>
          <w:b/>
        </w:rPr>
        <w:t xml:space="preserve">Account Number:</w:t>
      </w:r>
      <w:r>
        <w:t xml:space="preserve"> </w:t>
      </w:r>
      <w:r>
        <w:t xml:space="preserve">55667788</w:t>
      </w:r>
    </w:p>
    <w:p>
      <w:pPr>
        <w:pStyle w:val="BodyText"/>
      </w:pPr>
      <w:r>
        <w:rPr>
          <w:bCs/>
          <w:b/>
        </w:rPr>
        <w:t xml:space="preserve">Account Name:</w:t>
      </w:r>
      <w:r>
        <w:t xml:space="preserve"> </w:t>
      </w:r>
      <w:r>
        <w:t xml:space="preserve">Meridian Audit &amp; Advisory LLP</w:t>
      </w:r>
    </w:p>
    <w:p>
      <w:pPr>
        <w:pStyle w:val="BodyText"/>
      </w:pPr>
      <w:r>
        <w:rPr>
          <w:bCs/>
          <w:b/>
        </w:rPr>
        <w:t xml:space="preserve">Reference:</w:t>
      </w:r>
      <w:r>
        <w:t xml:space="preserve"> </w:t>
      </w:r>
      <w:r>
        <w:t xml:space="preserve">MA-2025-00487</w:t>
      </w:r>
    </w:p>
    <w:p>
      <w:pPr>
        <w:pStyle w:val="BodyText"/>
      </w:pPr>
      <w:r>
        <w:t xml:space="preserve">Please quote the Invoice number on all correspondence and payments. A late payment charge of 4% per annum above the Bank of England base rate will apply to any outstanding balance after the due date, in accordance with the Late Payment of Commercial Debts (Interest) Act 1998.</w:t>
      </w:r>
    </w:p>
    <w:bookmarkEnd w:id="24"/>
    <w:bookmarkStart w:id="25" w:name="notes-professional-declarations"/>
    <w:p>
      <w:pPr>
        <w:pStyle w:val="Heading3"/>
      </w:pPr>
      <w:r>
        <w:t xml:space="preserve">Notes &amp; Professional Declarations</w:t>
      </w:r>
    </w:p>
    <w:p>
      <w:pPr>
        <w:pStyle w:val="FirstParagraph"/>
      </w:pPr>
      <w:r>
        <w:t xml:space="preserve">This Invoice has been issued by the Auditor, Ms. Eleanor Whitfield, in her capacity as the appointed statutory auditor of Thames Financial Holdings PLC. The audit engagement was conducted in strict compliance with the Auditing Practices Board (APB) Ethical Standards, the ICAW Code of Ethics, and the requirements of the Companies Act 2006 as applicable in the United Kingdom.</w:t>
      </w:r>
    </w:p>
    <w:p>
      <w:pPr>
        <w:pStyle w:val="BodyText"/>
      </w:pPr>
      <w:r>
        <w:t xml:space="preserve">The Auditor confirms that all services described in this Invoice were performed by qualified professionals registered with the Institute of Chartered Accountants in England and Wales (ICAEW) and were carried out at the firm's registered office in London, United Kingdom. The Auditor maintains full professional indemnity insurance coverage in accordance with the requirements of the ICAEW and the Financial Reporting Council (FRC).</w:t>
      </w:r>
    </w:p>
    <w:p>
      <w:pPr>
        <w:pStyle w:val="BodyText"/>
      </w:pPr>
      <w:r>
        <w:t xml:space="preserve">This Invoice constitutes the final and complete statement of fees for the audit engagement for the financial year ended 31 March 2025. No additional charges are anticipated unless further work is agreed in writing by both parties. The Auditor reserves the right to issue a supplementary Invoice should any additional procedures be required following the initial fieldwork.</w:t>
      </w:r>
    </w:p>
    <w:p>
      <w:pPr>
        <w:pStyle w:val="BodyText"/>
      </w:pPr>
      <w:r>
        <w:t xml:space="preserve">Thames Financial Holdings PLC acknowledges receipt of this Invoice and agrees to the terms set out herein. This document is governed by the laws of England and Wales, and any disputes arising from this Invoice shall be subject to the exclusive jurisdiction of the courts of London, United Kingdom.</w:t>
      </w:r>
    </w:p>
    <w:bookmarkEnd w:id="25"/>
    <w:p>
      <w:pPr>
        <w:pStyle w:val="BodyText"/>
      </w:pPr>
      <w:r>
        <w:rPr>
          <w:bCs/>
          <w:b/>
        </w:rPr>
        <w:t xml:space="preserve">Meridian Audit &amp; Advisory LLP</w:t>
      </w:r>
      <w:r>
        <w:t xml:space="preserve"> </w:t>
      </w:r>
      <w:r>
        <w:t xml:space="preserve">| 142 Fleet Street, London EC4A 2BL, United Kingdom | Registered in England &amp; Wales No. 08765432</w:t>
      </w:r>
    </w:p>
    <w:p>
      <w:pPr>
        <w:pStyle w:val="BodyText"/>
      </w:pPr>
      <w:r>
        <w:t xml:space="preserve">This Invoice was generated electronically and is valid without a physical signature. For queries regarding this Invoice, please contact billing@meridianaudit.co.uk or call +44 (0)20 7946 0821.</w:t>
      </w:r>
    </w:p>
    <w:p>
      <w:pPr>
        <w:pStyle w:val="BodyText"/>
      </w:pPr>
      <w:r>
        <w:t xml:space="preserve">© 2025 Meridian Audit &amp; Advisory LLP. All rights reserved. | Auditor Services | London,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Auditor Services - United Kingdom London</dc:title>
  <dc:creator/>
  <dc:language>en-GB</dc:language>
  <cp:keywords/>
  <dcterms:created xsi:type="dcterms:W3CDTF">2026-10-10T04:44:04Z</dcterms:created>
  <dcterms:modified xsi:type="dcterms:W3CDTF">2026-10-10T04:44:04Z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