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invoice"/>
    <w:p>
      <w:pPr>
        <w:pStyle w:val="Heading1"/>
      </w:pPr>
      <w:r>
        <w:t xml:space="preserve">INVOICE</w:t>
      </w:r>
    </w:p>
    <w:p>
      <w:pPr>
        <w:pStyle w:val="FirstParagraph"/>
      </w:pPr>
      <w:r>
        <w:t xml:space="preserve">Professional Auditor Services — United States Houston, Texas</w:t>
      </w:r>
    </w:p>
    <w:bookmarkEnd w:id="20"/>
    <w:bookmarkStart w:id="21" w:name="issued-by-auditor"/>
    <w:p>
      <w:pPr>
        <w:pStyle w:val="Heading3"/>
      </w:pPr>
      <w:r>
        <w:t xml:space="preserve">Issued By (Auditor)</w:t>
      </w:r>
    </w:p>
    <w:p>
      <w:pPr>
        <w:pStyle w:val="FirstParagraph"/>
      </w:pPr>
      <w:r>
        <w:rPr>
          <w:bCs/>
          <w:b/>
        </w:rPr>
        <w:t xml:space="preserve">Meridian Audit &amp; Assurance Group, LLC</w:t>
      </w:r>
    </w:p>
    <w:p>
      <w:pPr>
        <w:pStyle w:val="BodyText"/>
      </w:pPr>
      <w:r>
        <w:t xml:space="preserve">4500 Post Oak Boulevard, Suite 1200</w:t>
      </w:r>
    </w:p>
    <w:p>
      <w:pPr>
        <w:pStyle w:val="BodyText"/>
      </w:pPr>
      <w:r>
        <w:t xml:space="preserve">Houston, Texas 77056</w:t>
      </w:r>
    </w:p>
    <w:p>
      <w:pPr>
        <w:pStyle w:val="BodyText"/>
      </w:pPr>
      <w:r>
        <w:t xml:space="preserve">United States</w:t>
      </w:r>
    </w:p>
    <w:p>
      <w:pPr>
        <w:pStyle w:val="BodyText"/>
      </w:pPr>
      <w:r>
        <w:t xml:space="preserve">Tel: (713) 555-0142</w:t>
      </w:r>
    </w:p>
    <w:p>
      <w:pPr>
        <w:pStyle w:val="BodyText"/>
      </w:pPr>
      <w:r>
        <w:t xml:space="preserve">Email: billing@meridianaudit-houston.com</w:t>
      </w:r>
    </w:p>
    <w:p>
      <w:pPr>
        <w:pStyle w:val="BodyText"/>
      </w:pPr>
      <w:r>
        <w:t xml:space="preserve">Texas State Auditor License No. TX-AUD-2024-08871</w:t>
      </w:r>
    </w:p>
    <w:bookmarkEnd w:id="21"/>
    <w:bookmarkStart w:id="22" w:name="billed-to-client"/>
    <w:p>
      <w:pPr>
        <w:pStyle w:val="Heading3"/>
      </w:pPr>
      <w:r>
        <w:t xml:space="preserve">Billed To (Client)</w:t>
      </w:r>
    </w:p>
    <w:p>
      <w:pPr>
        <w:pStyle w:val="FirstParagraph"/>
      </w:pPr>
      <w:r>
        <w:rPr>
          <w:bCs/>
          <w:b/>
        </w:rPr>
        <w:t xml:space="preserve">Gulf Coast Energy Partners, Inc.</w:t>
      </w:r>
    </w:p>
    <w:p>
      <w:pPr>
        <w:pStyle w:val="BodyText"/>
      </w:pPr>
      <w:r>
        <w:t xml:space="preserve">1200 Smith Street, Floor 22</w:t>
      </w:r>
    </w:p>
    <w:p>
      <w:pPr>
        <w:pStyle w:val="BodyText"/>
      </w:pPr>
      <w:r>
        <w:t xml:space="preserve">Houston, Texas 77002</w:t>
      </w:r>
    </w:p>
    <w:p>
      <w:pPr>
        <w:pStyle w:val="BodyText"/>
      </w:pPr>
      <w:r>
        <w:t xml:space="preserve">United States</w:t>
      </w:r>
    </w:p>
    <w:p>
      <w:pPr>
        <w:pStyle w:val="BodyText"/>
      </w:pPr>
      <w:r>
        <w:t xml:space="preserve">Attn: Mr. David R. Calloway, CFO</w:t>
      </w:r>
    </w:p>
    <w:p>
      <w:pPr>
        <w:pStyle w:val="BodyText"/>
      </w:pPr>
      <w:r>
        <w:t xml:space="preserve">Tel: (713) 555-0387</w:t>
      </w:r>
    </w:p>
    <w:p>
      <w:pPr>
        <w:pStyle w:val="BodyText"/>
      </w:pPr>
      <w:r>
        <w:t xml:space="preserve">Tax ID (EIN): 74-2849103</w:t>
      </w:r>
    </w:p>
    <w:bookmarkEnd w:id="22"/>
    <w:p>
      <w:pPr>
        <w:pStyle w:val="BodyText"/>
      </w:pPr>
      <w:r>
        <w:rPr>
          <w:bCs/>
          <w:b/>
        </w:rPr>
        <w:t xml:space="preserve">Invoice Number:</w:t>
      </w:r>
      <w:r>
        <w:t xml:space="preserve"> </w:t>
      </w:r>
      <w:r>
        <w:t xml:space="preserve">INV-2025-HOU-04471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Period:</w:t>
      </w:r>
      <w:r>
        <w:t xml:space="preserve"> </w:t>
      </w:r>
      <w:r>
        <w:t xml:space="preserve">March 1, 2025 – May 31, 2025</w:t>
      </w:r>
    </w:p>
    <w:p>
      <w:pPr>
        <w:pStyle w:val="BodyText"/>
      </w:pPr>
      <w:r>
        <w:rPr>
          <w:bCs/>
          <w:b/>
        </w:rPr>
        <w:t xml:space="preserve">Engagement Reference:</w:t>
      </w:r>
      <w:r>
        <w:t xml:space="preserve"> </w:t>
      </w:r>
      <w:r>
        <w:t xml:space="preserve">EAG-2025-Q1-Q2-Houston</w:t>
      </w:r>
    </w:p>
    <w:p>
      <w:pPr>
        <w:pStyle w:val="BodyText"/>
      </w:pPr>
      <w:r>
        <w:rPr>
          <w:bCs/>
          <w:b/>
        </w:rPr>
        <w:t xml:space="preserve">Invoice Currency:</w:t>
      </w:r>
      <w:r>
        <w:t xml:space="preserve"> </w:t>
      </w:r>
      <w:r>
        <w:t xml:space="preserve">United States Dollars (USD)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financial statement audit for fiscal year 2024, conducted by a licensed Auditor in compliance with Generally Accepted Auditing Standards (GAAS) and the regulations of the Texas State Board of Public Accountancy, performed at the client's principal offices in United States Houston.</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Internal controls assessment and risk-based audit planning session. The Auditor team conducted on-site evaluations of the client's procurement, revenue cycle, and treasury management systems located in the Houston, Texas metropolitan area.</w:t>
            </w:r>
          </w:p>
        </w:tc>
        <w:tc>
          <w:tcPr/>
          <w:p>
            <w:pPr>
              <w:pStyle w:val="Compact"/>
              <w:jc w:val="left"/>
            </w:pPr>
            <w:r>
              <w:t xml:space="preserve">48</w:t>
            </w:r>
          </w:p>
        </w:tc>
        <w:tc>
          <w:tcPr/>
          <w:p>
            <w:pPr>
              <w:pStyle w:val="Compact"/>
              <w:jc w:val="left"/>
            </w:pPr>
            <w:r>
              <w:t xml:space="preserve">$310.00</w:t>
            </w:r>
          </w:p>
        </w:tc>
        <w:tc>
          <w:tcPr/>
          <w:p>
            <w:pPr>
              <w:pStyle w:val="Compact"/>
              <w:jc w:val="left"/>
            </w:pPr>
            <w:r>
              <w:t xml:space="preserve">$14,880.00</w:t>
            </w:r>
          </w:p>
        </w:tc>
      </w:tr>
      <w:tr>
        <w:tc>
          <w:tcPr/>
          <w:p>
            <w:pPr>
              <w:pStyle w:val="Compact"/>
              <w:jc w:val="left"/>
            </w:pPr>
            <w:r>
              <w:t xml:space="preserve">3</w:t>
            </w:r>
          </w:p>
        </w:tc>
        <w:tc>
          <w:tcPr/>
          <w:p>
            <w:pPr>
              <w:pStyle w:val="Compact"/>
              <w:jc w:val="left"/>
            </w:pPr>
            <w:r>
              <w:t xml:space="preserve">Regulatory compliance review under SEC reporting requirements and Texas state tax obligations. The Auditor verified adherence to all applicable federal and state mandates relevant to energy-sector entities operating in United States Houston.</w:t>
            </w:r>
          </w:p>
        </w:tc>
        <w:tc>
          <w:tcPr/>
          <w:p>
            <w:pPr>
              <w:pStyle w:val="Compact"/>
              <w:jc w:val="left"/>
            </w:pPr>
            <w:r>
              <w:t xml:space="preserve">36</w:t>
            </w:r>
          </w:p>
        </w:tc>
        <w:tc>
          <w:tcPr/>
          <w:p>
            <w:pPr>
              <w:pStyle w:val="Compact"/>
              <w:jc w:val="left"/>
            </w:pPr>
            <w:r>
              <w:t xml:space="preserve">$295.00</w:t>
            </w:r>
          </w:p>
        </w:tc>
        <w:tc>
          <w:tcPr/>
          <w:p>
            <w:pPr>
              <w:pStyle w:val="Compact"/>
              <w:jc w:val="left"/>
            </w:pPr>
            <w:r>
              <w:t xml:space="preserve">$10,620.00</w:t>
            </w:r>
          </w:p>
        </w:tc>
      </w:tr>
      <w:tr>
        <w:tc>
          <w:tcPr/>
          <w:p>
            <w:pPr>
              <w:pStyle w:val="Compact"/>
              <w:jc w:val="left"/>
            </w:pPr>
            <w:r>
              <w:t xml:space="preserve">4</w:t>
            </w:r>
          </w:p>
        </w:tc>
        <w:tc>
          <w:tcPr/>
          <w:p>
            <w:pPr>
              <w:pStyle w:val="Compact"/>
              <w:jc w:val="left"/>
            </w:pPr>
            <w:r>
              <w:t xml:space="preserve">Preparation and issuance of the formal Auditor's opinion letter, management letter, and detailed audit workpapers. All documentation was prepared in accordance with the standards of the American Institute of Certified Public Accountants (AICPA) and filed with the appropriate United States Houston municipal and state authorities.</w:t>
            </w:r>
          </w:p>
        </w:tc>
        <w:tc>
          <w:tcPr/>
          <w:p>
            <w:pPr>
              <w:pStyle w:val="Compact"/>
              <w:jc w:val="left"/>
            </w:pPr>
            <w:r>
              <w:t xml:space="preserve">24</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5</w:t>
            </w:r>
          </w:p>
        </w:tc>
        <w:tc>
          <w:tcPr/>
          <w:p>
            <w:pPr>
              <w:pStyle w:val="Compact"/>
              <w:jc w:val="left"/>
            </w:pPr>
            <w:r>
              <w:t xml:space="preserve">Follow-up review of prior-year audit findings and remediation verification. The Auditor confirmed that all 14 material weaknesses identified in the 2023 engagement had been adequately addressed by the client's management team in Houston.</w:t>
            </w:r>
          </w:p>
        </w:tc>
        <w:tc>
          <w:tcPr/>
          <w:p>
            <w:pPr>
              <w:pStyle w:val="Compact"/>
              <w:jc w:val="left"/>
            </w:pPr>
            <w:r>
              <w:t xml:space="preserve">18</w:t>
            </w:r>
          </w:p>
        </w:tc>
        <w:tc>
          <w:tcPr/>
          <w:p>
            <w:pPr>
              <w:pStyle w:val="Compact"/>
              <w:jc w:val="left"/>
            </w:pPr>
            <w:r>
              <w:t xml:space="preserve">$285.00</w:t>
            </w:r>
          </w:p>
        </w:tc>
        <w:tc>
          <w:tcPr/>
          <w:p>
            <w:pPr>
              <w:pStyle w:val="Compact"/>
              <w:jc w:val="left"/>
            </w:pPr>
            <w:r>
              <w:t xml:space="preserve">$5,130.00</w:t>
            </w:r>
          </w:p>
        </w:tc>
      </w:tr>
      <w:tr>
        <w:tc>
          <w:tcPr/>
          <w:p>
            <w:pPr>
              <w:pStyle w:val="Compact"/>
              <w:jc w:val="left"/>
            </w:pPr>
            <w:r>
              <w:t xml:space="preserve">6</w:t>
            </w:r>
          </w:p>
        </w:tc>
        <w:tc>
          <w:tcPr/>
          <w:p>
            <w:pPr>
              <w:pStyle w:val="Compact"/>
              <w:jc w:val="left"/>
            </w:pPr>
            <w:r>
              <w:t xml:space="preserve">Travel, lodging, and per diem expenses incurred by the Auditor team while conducting fieldwork at the client's facilities across the United States Houston area, including the Energy Corridor and Downtown Houston locations.</w:t>
            </w:r>
          </w:p>
        </w:tc>
        <w:tc>
          <w:tcPr/>
          <w:p>
            <w:pPr>
              <w:pStyle w:val="Compact"/>
              <w:jc w:val="left"/>
            </w:pPr>
            <w:r>
              <w:t xml:space="preserve">—</w:t>
            </w:r>
          </w:p>
        </w:tc>
        <w:tc>
          <w:tcPr/>
          <w:p>
            <w:pPr>
              <w:pStyle w:val="Compact"/>
              <w:jc w:val="left"/>
            </w:pPr>
            <w:r>
              <w:t xml:space="preserve">—</w:t>
            </w:r>
          </w:p>
        </w:tc>
        <w:tc>
          <w:tcPr/>
          <w:p>
            <w:pPr>
              <w:pStyle w:val="Compact"/>
              <w:jc w:val="left"/>
            </w:pPr>
            <w:r>
              <w:t xml:space="preserve">$3,450.00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$75,960.00</w:t>
            </w:r>
          </w:p>
        </w:tc>
      </w:tr>
      <w:tr>
        <w:tc>
          <w:tcPr/>
          <w:p>
            <w:pPr>
              <w:pStyle w:val="Compact"/>
              <w:jc w:val="left"/>
            </w:pPr>
            <w:r>
              <w:t xml:space="preserve">Texas State Sales &amp; Use Tax (8.25%)</w:t>
            </w:r>
          </w:p>
        </w:tc>
        <w:tc>
          <w:tcPr/>
          <w:p>
            <w:pPr>
              <w:pStyle w:val="Compact"/>
              <w:jc w:val="left"/>
            </w:pPr>
            <w:r>
              <w:t xml:space="preserve">$6,266.70</w:t>
            </w:r>
          </w:p>
        </w:tc>
      </w:tr>
      <w:tr>
        <w:tc>
          <w:tcPr/>
          <w:p>
            <w:pPr>
              <w:pStyle w:val="Compact"/>
              <w:jc w:val="left"/>
            </w:pPr>
            <w:r>
              <w:t xml:space="preserve">Houston Municipal Tax (0.375%)</w:t>
            </w:r>
          </w:p>
        </w:tc>
        <w:tc>
          <w:tcPr/>
          <w:p>
            <w:pPr>
              <w:pStyle w:val="Compact"/>
              <w:jc w:val="left"/>
            </w:pPr>
            <w:r>
              <w:t xml:space="preserve">$284.85</w:t>
            </w:r>
          </w:p>
        </w:tc>
      </w:tr>
      <w:tr>
        <w:tc>
          <w:tcPr/>
          <w:p>
            <w:pPr>
              <w:pStyle w:val="Compact"/>
              <w:jc w:val="left"/>
            </w:pPr>
            <w:r>
              <w:t xml:space="preserve">Early Payment Discount (2% if paid within 10 days)</w:t>
            </w:r>
          </w:p>
        </w:tc>
        <w:tc>
          <w:tcPr/>
          <w:p>
            <w:pPr>
              <w:pStyle w:val="Compact"/>
              <w:jc w:val="left"/>
            </w:pPr>
            <w:r>
              <w:t xml:space="preserve">($1,519.20)</w:t>
            </w:r>
          </w:p>
        </w:tc>
      </w:tr>
      <w:tr>
        <w:tc>
          <w:tcPr/>
          <w:p>
            <w:pPr>
              <w:pStyle w:val="Compact"/>
              <w:jc w:val="left"/>
            </w:pPr>
            <w:r>
              <w:t xml:space="preserve">Grand Total Due</w:t>
            </w:r>
          </w:p>
        </w:tc>
        <w:tc>
          <w:tcPr/>
          <w:p>
            <w:pPr>
              <w:pStyle w:val="Compact"/>
              <w:jc w:val="left"/>
            </w:pPr>
            <w:r>
              <w:t xml:space="preserve">$80,992.35</w:t>
            </w:r>
          </w:p>
        </w:tc>
      </w:tr>
    </w:tbl>
    <w:bookmarkStart w:id="23" w:name="payment-terms-instructions"/>
    <w:p>
      <w:pPr>
        <w:pStyle w:val="Heading3"/>
      </w:pPr>
      <w:r>
        <w:t xml:space="preserve">Payment Terms &amp; Instructions</w:t>
      </w:r>
    </w:p>
    <w:p>
      <w:pPr>
        <w:pStyle w:val="FirstParagraph"/>
      </w:pPr>
      <w:r>
        <w:t xml:space="preserve">This Invoice is payable within thirty (30) calendar days from the Invoice date of June 12, 2025. Payment may be remitted via wire transfer to Meridian Audit &amp; Assurance Group, LLC, First National Bank of Houston, Routing No. 121000248, Account No. 0044-7712-903, or by check made payable to "Meridian Audit &amp; Assurance Group, LLC" and mailed to the United States Houston address listed above. A late payment fee of 1.5% per month will be assessed on any outstanding balance after the due date. Please reference Invoice Number INV-2025-HOU-04471 on all correspondence and remittances.</w:t>
      </w:r>
    </w:p>
    <w:bookmarkEnd w:id="23"/>
    <w:bookmarkStart w:id="24" w:name="additional-notes-auditors-statement"/>
    <w:p>
      <w:pPr>
        <w:pStyle w:val="Heading3"/>
      </w:pPr>
      <w:r>
        <w:t xml:space="preserve">Additional Notes &amp; Auditor's Statement</w:t>
      </w:r>
    </w:p>
    <w:p>
      <w:pPr>
        <w:pStyle w:val="FirstParagraph"/>
      </w:pPr>
      <w:r>
        <w:t xml:space="preserve">This Invoice represents the final and complete billing for all Auditor services rendered during the engagement period specified above. The undersigned Auditor, licensed and in good standing with the Texas State Board of Public Accountancy, certifies that all procedures outlined in the engagement letter dated February 15, 2025, have been performed to the satisfaction of the audit team. No additional fees or charges beyond those itemized in this Invoice shall be incurred for the referenced engagement period.</w:t>
      </w:r>
    </w:p>
    <w:p>
      <w:pPr>
        <w:pStyle w:val="BodyText"/>
      </w:pPr>
      <w:r>
        <w:t xml:space="preserve">All work performed by the Auditor was conducted in strict accordance with the independence requirements of the AICPA Code of Professional Conduct and the standards of the Public Company Accounting Oversight Board (PCAOB) where applicable. The Auditor maintains no financial, business, or personal relationships with Gulf Coast Energy Partners, Inc. that would impair professional independence.</w:t>
      </w:r>
    </w:p>
    <w:p>
      <w:pPr>
        <w:pStyle w:val="BodyText"/>
      </w:pPr>
      <w:r>
        <w:t xml:space="preserve">Should the client require any clarification regarding line items, supporting documentation, or the scope of services described in this Invoice, please contact the engagement partner, Ms. Sandra L. Whitfield, CPA, at (713) 555-0142 or via email at s.whitfield@meridianaudit-houston.com. All inquiries regarding this Invoice should be directed to the United States Houston office during regular business hours, Monday through Friday, 8:00 AM to 5:30 PM Central Time.</w:t>
      </w:r>
    </w:p>
    <w:p>
      <w:pPr>
        <w:pStyle w:val="BodyText"/>
      </w:pPr>
      <w:r>
        <w:t xml:space="preserve">This document constitutes a legally binding Invoice under the laws of the State of Texas and the United States of America. In the event of a dispute, all matters shall be governed by and construed in accordance with the laws of the State of Texas, with exclusive jurisdiction in the Harris County District Courts, United States Houston.</w:t>
      </w:r>
    </w:p>
    <w:bookmarkEnd w:id="24"/>
    <w:p>
      <w:pPr>
        <w:pStyle w:val="BodyText"/>
      </w:pPr>
      <w:r>
        <w:rPr>
          <w:bCs/>
          <w:b/>
        </w:rPr>
        <w:t xml:space="preserve">Meridian Audit &amp; Assurance Group, LLC</w:t>
      </w:r>
      <w:r>
        <w:t xml:space="preserve"> </w:t>
      </w:r>
      <w:r>
        <w:t xml:space="preserve">— A Texas Limited Liability Company</w:t>
      </w:r>
    </w:p>
    <w:p>
      <w:pPr>
        <w:pStyle w:val="BodyText"/>
      </w:pPr>
      <w:r>
        <w:t xml:space="preserve">4500 Post Oak Boulevard, Suite 1200, Houston, Texas 77056, United States</w:t>
      </w:r>
    </w:p>
    <w:p>
      <w:pPr>
        <w:pStyle w:val="BodyText"/>
      </w:pPr>
      <w:r>
        <w:t xml:space="preserve">Texas State Auditor License No. TX-AUD-2024-08871 | AICPA Member Firm | PCAOB Registered</w:t>
      </w:r>
    </w:p>
    <w:p>
      <w:pPr>
        <w:pStyle w:val="BodyText"/>
      </w:pPr>
      <w:r>
        <w:t xml:space="preserve">This Invoice was generated electronically and is valid without a physical signature. © 2025 Meridian Audit &amp; Assurance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United States Houston</dc:title>
  <dc:creator/>
  <dc:language>en</dc:language>
  <cp:keywords/>
  <dcterms:created xsi:type="dcterms:W3CDTF">2026-10-10T01:22:22Z</dcterms:created>
  <dcterms:modified xsi:type="dcterms:W3CDTF">2026-10-10T01:22:22Z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