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apex-financial-audit-group-llc"/>
    <w:p>
      <w:pPr>
        <w:pStyle w:val="Heading1"/>
      </w:pPr>
      <w:r>
        <w:t xml:space="preserve">Apex Financial Audit Group, LLC</w:t>
      </w:r>
    </w:p>
    <w:p>
      <w:pPr>
        <w:pStyle w:val="FirstParagraph"/>
      </w:pPr>
      <w:r>
        <w:t xml:space="preserve">1200 Brickell Avenue, Suite 2400</w:t>
      </w:r>
    </w:p>
    <w:p>
      <w:pPr>
        <w:pStyle w:val="BodyText"/>
      </w:pPr>
      <w:r>
        <w:t xml:space="preserve">Miami, Florida 33131, United States</w:t>
      </w:r>
    </w:p>
    <w:p>
      <w:pPr>
        <w:pStyle w:val="BodyText"/>
      </w:pPr>
      <w:r>
        <w:t xml:space="preserve">Phone: (305) 555-0187 | Email: billing@apexauditmiami.com</w:t>
      </w:r>
    </w:p>
    <w:p>
      <w:pPr>
        <w:pStyle w:val="BodyText"/>
      </w:pPr>
      <w:r>
        <w:t xml:space="preserve">Florida CPA Firm License No. 2024-FL-08842</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INV-2025-0472</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May 1 – May 31, 2025</w:t>
      </w:r>
    </w:p>
    <w:p>
      <w:pPr>
        <w:pStyle w:val="BodyText"/>
      </w:pPr>
      <w:r>
        <w:t xml:space="preserve">United States Miami</w:t>
      </w:r>
    </w:p>
    <w:bookmarkEnd w:id="21"/>
    <w:bookmarkStart w:id="22" w:name="bill-to"/>
    <w:p>
      <w:pPr>
        <w:pStyle w:val="Heading3"/>
      </w:pPr>
      <w:r>
        <w:t xml:space="preserve">Bill To</w:t>
      </w:r>
    </w:p>
    <w:p>
      <w:pPr>
        <w:pStyle w:val="FirstParagraph"/>
      </w:pPr>
      <w:r>
        <w:rPr>
          <w:bCs/>
          <w:b/>
        </w:rPr>
        <w:t xml:space="preserve">Meridian Hospitality Holdings, Inc.</w:t>
      </w:r>
    </w:p>
    <w:p>
      <w:pPr>
        <w:pStyle w:val="BodyText"/>
      </w:pPr>
      <w:r>
        <w:t xml:space="preserve">Attn: Mr. David R. Castellanos, CFO</w:t>
      </w:r>
    </w:p>
    <w:p>
      <w:pPr>
        <w:pStyle w:val="BodyText"/>
      </w:pPr>
      <w:r>
        <w:t xml:space="preserve">8901 Biscayne Boulevard</w:t>
      </w:r>
    </w:p>
    <w:p>
      <w:pPr>
        <w:pStyle w:val="BodyText"/>
      </w:pPr>
      <w:r>
        <w:t xml:space="preserve">Miami, Florida 33138, United States</w:t>
      </w:r>
    </w:p>
    <w:p>
      <w:pPr>
        <w:pStyle w:val="BodyText"/>
      </w:pPr>
      <w:r>
        <w:t xml:space="preserve">Tax ID (EIN): 82-4471903</w:t>
      </w:r>
    </w:p>
    <w:p>
      <w:pPr>
        <w:pStyle w:val="BodyText"/>
      </w:pPr>
      <w:r>
        <w:t xml:space="preserve">Phone: (305) 555-0234</w:t>
      </w:r>
    </w:p>
    <w:bookmarkEnd w:id="22"/>
    <w:bookmarkStart w:id="23" w:name="prepared-by-auditor"/>
    <w:p>
      <w:pPr>
        <w:pStyle w:val="Heading3"/>
      </w:pPr>
      <w:r>
        <w:t xml:space="preserve">Prepared By (Auditor)</w:t>
      </w:r>
    </w:p>
    <w:p>
      <w:pPr>
        <w:pStyle w:val="FirstParagraph"/>
      </w:pPr>
      <w:r>
        <w:rPr>
          <w:bCs/>
          <w:b/>
        </w:rPr>
        <w:t xml:space="preserve">Lead Auditor:</w:t>
      </w:r>
      <w:r>
        <w:t xml:space="preserve"> </w:t>
      </w:r>
      <w:r>
        <w:t xml:space="preserve">Ms. Patricia L. Fernandez, CPA, CFE</w:t>
      </w:r>
    </w:p>
    <w:p>
      <w:pPr>
        <w:pStyle w:val="BodyText"/>
      </w:pPr>
      <w:r>
        <w:rPr>
          <w:bCs/>
          <w:b/>
        </w:rPr>
        <w:t xml:space="preserve">Audit Team:</w:t>
      </w:r>
      <w:r>
        <w:t xml:space="preserve"> </w:t>
      </w:r>
      <w:r>
        <w:t xml:space="preserve">4 Senior Associates</w:t>
      </w:r>
    </w:p>
    <w:p>
      <w:pPr>
        <w:pStyle w:val="BodyText"/>
      </w:pPr>
      <w:r>
        <w:rPr>
          <w:bCs/>
          <w:b/>
        </w:rPr>
        <w:t xml:space="preserve">Auditor Firm:</w:t>
      </w:r>
      <w:r>
        <w:t xml:space="preserve"> </w:t>
      </w:r>
      <w:r>
        <w:t xml:space="preserve">Apex Financial Audit Group, LLC</w:t>
      </w:r>
    </w:p>
    <w:p>
      <w:pPr>
        <w:pStyle w:val="BodyText"/>
      </w:pPr>
      <w:r>
        <w:rPr>
          <w:bCs/>
          <w:b/>
        </w:rPr>
        <w:t xml:space="preserve">Engagement ID:</w:t>
      </w:r>
      <w:r>
        <w:t xml:space="preserve"> </w:t>
      </w:r>
      <w:r>
        <w:t xml:space="preserve">ENG-2025-MIA-0198</w:t>
      </w:r>
    </w:p>
    <w:p>
      <w:pPr>
        <w:pStyle w:val="BodyText"/>
      </w:pPr>
      <w:r>
        <w:rPr>
          <w:bCs/>
          <w:b/>
        </w:rPr>
        <w:t xml:space="preserve">Location:</w:t>
      </w:r>
      <w:r>
        <w:t xml:space="preserve"> </w:t>
      </w:r>
      <w:r>
        <w:t xml:space="preserve">United States Miami, FL</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Auditor Services</w:t>
            </w:r>
          </w:p>
        </w:tc>
        <w:tc>
          <w:tcPr/>
          <w:p>
            <w:pPr>
              <w:pStyle w:val="Compact"/>
              <w:jc w:val="left"/>
            </w:pPr>
            <w:r>
              <w:t xml:space="preserve">Service Category</w:t>
            </w:r>
          </w:p>
        </w:tc>
        <w:tc>
          <w:tcPr/>
          <w:p>
            <w:pPr>
              <w:pStyle w:val="Compact"/>
              <w:jc w:val="left"/>
            </w:pPr>
            <w:r>
              <w:t xml:space="preserve">Hours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Comprehensive financial statement audit for fiscal year 2024, conducted by the Lead Auditor and team at the client's Miami, Florida headquarters. Includes verification of revenue recognition, asset valuation, and liability assessment in compliance with GAAP standards.</w:t>
            </w:r>
          </w:p>
        </w:tc>
        <w:tc>
          <w:tcPr/>
          <w:p>
            <w:pPr>
              <w:pStyle w:val="Compact"/>
              <w:jc w:val="left"/>
            </w:pPr>
            <w:r>
              <w:t xml:space="preserve">Financial Audit</w:t>
            </w:r>
          </w:p>
        </w:tc>
        <w:tc>
          <w:tcPr/>
          <w:p>
            <w:pPr>
              <w:pStyle w:val="Compact"/>
              <w:jc w:val="left"/>
            </w:pPr>
            <w:r>
              <w:t xml:space="preserve">120</w:t>
            </w:r>
          </w:p>
        </w:tc>
        <w:tc>
          <w:tcPr/>
          <w:p>
            <w:pPr>
              <w:pStyle w:val="Compact"/>
              <w:jc w:val="left"/>
            </w:pPr>
            <w:r>
              <w:t xml:space="preserve">$275.00</w:t>
            </w:r>
          </w:p>
        </w:tc>
        <w:tc>
          <w:tcPr/>
          <w:p>
            <w:pPr>
              <w:pStyle w:val="Compact"/>
              <w:jc w:val="left"/>
            </w:pPr>
            <w:r>
              <w:t xml:space="preserve">$33,000.00</w:t>
            </w:r>
          </w:p>
        </w:tc>
      </w:tr>
      <w:tr>
        <w:tc>
          <w:tcPr/>
          <w:p>
            <w:pPr>
              <w:pStyle w:val="Compact"/>
              <w:jc w:val="left"/>
            </w:pPr>
            <w:r>
              <w:t xml:space="preserve">2</w:t>
            </w:r>
          </w:p>
        </w:tc>
        <w:tc>
          <w:tcPr/>
          <w:p>
            <w:pPr>
              <w:pStyle w:val="Compact"/>
              <w:jc w:val="left"/>
            </w:pPr>
            <w:r>
              <w:t xml:space="preserve">Internal controls assessment and SOX 404 compliance review. The Auditor team evaluated 47 key control points across the client's Miami operations, including cash management, procurement, and payroll systems. Detailed findings report delivered to the Board of Directors.</w:t>
            </w:r>
          </w:p>
        </w:tc>
        <w:tc>
          <w:tcPr/>
          <w:p>
            <w:pPr>
              <w:pStyle w:val="Compact"/>
              <w:jc w:val="left"/>
            </w:pPr>
            <w:r>
              <w:t xml:space="preserve">Compliance Audit</w:t>
            </w:r>
          </w:p>
        </w:tc>
        <w:tc>
          <w:tcPr/>
          <w:p>
            <w:pPr>
              <w:pStyle w:val="Compact"/>
              <w:jc w:val="left"/>
            </w:pPr>
            <w:r>
              <w:t xml:space="preserve">65</w:t>
            </w:r>
          </w:p>
        </w:tc>
        <w:tc>
          <w:tcPr/>
          <w:p>
            <w:pPr>
              <w:pStyle w:val="Compact"/>
              <w:jc w:val="left"/>
            </w:pPr>
            <w:r>
              <w:t xml:space="preserve">$250.00</w:t>
            </w:r>
          </w:p>
        </w:tc>
        <w:tc>
          <w:tcPr/>
          <w:p>
            <w:pPr>
              <w:pStyle w:val="Compact"/>
              <w:jc w:val="left"/>
            </w:pPr>
            <w:r>
              <w:t xml:space="preserve">$16,250.00</w:t>
            </w:r>
          </w:p>
        </w:tc>
      </w:tr>
      <w:tr>
        <w:tc>
          <w:tcPr/>
          <w:p>
            <w:pPr>
              <w:pStyle w:val="Compact"/>
              <w:jc w:val="left"/>
            </w:pPr>
            <w:r>
              <w:t xml:space="preserve">3</w:t>
            </w:r>
          </w:p>
        </w:tc>
        <w:tc>
          <w:tcPr/>
          <w:p>
            <w:pPr>
              <w:pStyle w:val="Compact"/>
              <w:jc w:val="left"/>
            </w:pPr>
            <w:r>
              <w:t xml:space="preserve">Forensic accounting investigation regarding suspected vendor fraud in the Q3 2024 procurement cycle. The Auditor performed transaction tracing, bank reconciliation analysis, and witness interviews at the United States Miami office. Findings submitted to legal counsel.</w:t>
            </w:r>
          </w:p>
        </w:tc>
        <w:tc>
          <w:tcPr/>
          <w:p>
            <w:pPr>
              <w:pStyle w:val="Compact"/>
              <w:jc w:val="left"/>
            </w:pPr>
            <w:r>
              <w:t xml:space="preserve">Forensic Audit</w:t>
            </w:r>
          </w:p>
        </w:tc>
        <w:tc>
          <w:tcPr/>
          <w:p>
            <w:pPr>
              <w:pStyle w:val="Compact"/>
              <w:jc w:val="left"/>
            </w:pPr>
            <w:r>
              <w:t xml:space="preserve">48</w:t>
            </w:r>
          </w:p>
        </w:tc>
        <w:tc>
          <w:tcPr/>
          <w:p>
            <w:pPr>
              <w:pStyle w:val="Compact"/>
              <w:jc w:val="left"/>
            </w:pPr>
            <w:r>
              <w:t xml:space="preserve">$325.00</w:t>
            </w:r>
          </w:p>
        </w:tc>
        <w:tc>
          <w:tcPr/>
          <w:p>
            <w:pPr>
              <w:pStyle w:val="Compact"/>
              <w:jc w:val="left"/>
            </w:pPr>
            <w:r>
              <w:t xml:space="preserve">$15,600.00</w:t>
            </w:r>
          </w:p>
        </w:tc>
      </w:tr>
      <w:tr>
        <w:tc>
          <w:tcPr/>
          <w:p>
            <w:pPr>
              <w:pStyle w:val="Compact"/>
              <w:jc w:val="left"/>
            </w:pPr>
            <w:r>
              <w:t xml:space="preserve">4</w:t>
            </w:r>
          </w:p>
        </w:tc>
        <w:tc>
          <w:tcPr/>
          <w:p>
            <w:pPr>
              <w:pStyle w:val="Compact"/>
              <w:jc w:val="left"/>
            </w:pPr>
            <w:r>
              <w:t xml:space="preserve">Tax compliance review and preparation support for Florida state and federal filings. The Auditor verified deductible expenses, depreciation schedules, and tax credits applicable to the client's hospitality properties located in the Miami-Dade County region of the United States.</w:t>
            </w:r>
          </w:p>
        </w:tc>
        <w:tc>
          <w:tcPr/>
          <w:p>
            <w:pPr>
              <w:pStyle w:val="Compact"/>
              <w:jc w:val="left"/>
            </w:pPr>
            <w:r>
              <w:t xml:space="preserve">Tax Audit</w:t>
            </w:r>
          </w:p>
        </w:tc>
        <w:tc>
          <w:tcPr/>
          <w:p>
            <w:pPr>
              <w:pStyle w:val="Compact"/>
              <w:jc w:val="left"/>
            </w:pPr>
            <w:r>
              <w:t xml:space="preserve">32</w:t>
            </w:r>
          </w:p>
        </w:tc>
        <w:tc>
          <w:tcPr/>
          <w:p>
            <w:pPr>
              <w:pStyle w:val="Compact"/>
              <w:jc w:val="left"/>
            </w:pPr>
            <w:r>
              <w:t xml:space="preserve">$225.00</w:t>
            </w:r>
          </w:p>
        </w:tc>
        <w:tc>
          <w:tcPr/>
          <w:p>
            <w:pPr>
              <w:pStyle w:val="Compact"/>
              <w:jc w:val="left"/>
            </w:pPr>
            <w:r>
              <w:t xml:space="preserve">$7,200.00</w:t>
            </w:r>
          </w:p>
        </w:tc>
      </w:tr>
      <w:tr>
        <w:tc>
          <w:tcPr/>
          <w:p>
            <w:pPr>
              <w:pStyle w:val="Compact"/>
              <w:jc w:val="left"/>
            </w:pPr>
            <w:r>
              <w:t xml:space="preserve">5</w:t>
            </w:r>
          </w:p>
        </w:tc>
        <w:tc>
          <w:tcPr/>
          <w:p>
            <w:pPr>
              <w:pStyle w:val="Compact"/>
              <w:jc w:val="left"/>
            </w:pPr>
            <w:r>
              <w:t xml:space="preserve">IT general controls audit and cybersecurity risk assessment. The Auditor evaluated the client's data center infrastructure, access controls, and disaster recovery protocols. Report includes 12 remediation recommendations prioritized by risk severity.</w:t>
            </w:r>
          </w:p>
        </w:tc>
        <w:tc>
          <w:tcPr/>
          <w:p>
            <w:pPr>
              <w:pStyle w:val="Compact"/>
              <w:jc w:val="left"/>
            </w:pPr>
            <w:r>
              <w:t xml:space="preserve">IT Audit</w:t>
            </w:r>
          </w:p>
        </w:tc>
        <w:tc>
          <w:tcPr/>
          <w:p>
            <w:pPr>
              <w:pStyle w:val="Compact"/>
              <w:jc w:val="left"/>
            </w:pPr>
            <w:r>
              <w:t xml:space="preserve">40</w:t>
            </w:r>
          </w:p>
        </w:tc>
        <w:tc>
          <w:tcPr/>
          <w:p>
            <w:pPr>
              <w:pStyle w:val="Compact"/>
              <w:jc w:val="left"/>
            </w:pPr>
            <w:r>
              <w:t xml:space="preserve">$260.00</w:t>
            </w:r>
          </w:p>
        </w:tc>
        <w:tc>
          <w:tcPr/>
          <w:p>
            <w:pPr>
              <w:pStyle w:val="Compact"/>
              <w:jc w:val="left"/>
            </w:pPr>
            <w:r>
              <w:t xml:space="preserve">$10,400.00</w:t>
            </w:r>
          </w:p>
        </w:tc>
      </w:tr>
      <w:tr>
        <w:tc>
          <w:tcPr/>
          <w:p>
            <w:pPr>
              <w:pStyle w:val="Compact"/>
              <w:jc w:val="left"/>
            </w:pPr>
            <w:r>
              <w:t xml:space="preserve">6</w:t>
            </w:r>
          </w:p>
        </w:tc>
        <w:tc>
          <w:tcPr/>
          <w:p>
            <w:pPr>
              <w:pStyle w:val="Compact"/>
              <w:jc w:val="left"/>
            </w:pPr>
            <w:r>
              <w:t xml:space="preserve">On-site fieldwork travel and accommodation expenses incurred by the Auditor team during the engagement period in United States Miami. Includes airfare, hotel lodging (5 nights), and local transportation for four (4) audit professionals.</w:t>
            </w:r>
          </w:p>
        </w:tc>
        <w:tc>
          <w:tcPr/>
          <w:p>
            <w:pPr>
              <w:pStyle w:val="Compact"/>
              <w:jc w:val="left"/>
            </w:pPr>
            <w:r>
              <w:t xml:space="preserve">Travel &amp; Expenses</w:t>
            </w:r>
          </w:p>
        </w:tc>
        <w:tc>
          <w:tcPr/>
          <w:p>
            <w:pPr>
              <w:pStyle w:val="Compact"/>
              <w:jc w:val="left"/>
            </w:pPr>
            <w:r>
              <w:t xml:space="preserve">—</w:t>
            </w:r>
          </w:p>
        </w:tc>
        <w:tc>
          <w:tcPr/>
          <w:p>
            <w:pPr>
              <w:pStyle w:val="Compact"/>
              <w:jc w:val="left"/>
            </w:pPr>
            <w:r>
              <w:t xml:space="preserve">—</w:t>
            </w:r>
          </w:p>
        </w:tc>
        <w:tc>
          <w:tcPr/>
          <w:p>
            <w:pPr>
              <w:pStyle w:val="Compact"/>
              <w:jc w:val="left"/>
            </w:pPr>
            <w:r>
              <w:t xml:space="preserve">$4,875.50</w:t>
            </w:r>
          </w:p>
        </w:tc>
      </w:tr>
      <w:tr>
        <w:tc>
          <w:tcPr/>
          <w:p>
            <w:pPr>
              <w:pStyle w:val="Compact"/>
              <w:jc w:val="left"/>
            </w:pPr>
            <w:r>
              <w:t xml:space="preserve">7</w:t>
            </w:r>
          </w:p>
        </w:tc>
        <w:tc>
          <w:tcPr/>
          <w:p>
            <w:pPr>
              <w:pStyle w:val="Compact"/>
              <w:jc w:val="left"/>
            </w:pPr>
            <w:r>
              <w:t xml:space="preserve">Final audit report preparation, quality review, and issuance of the unqualified opinion letter. The Auditor compiled all working papers, performed peer review, and delivered the final Invoice documentation package to the client's CFO.</w:t>
            </w:r>
          </w:p>
        </w:tc>
        <w:tc>
          <w:tcPr/>
          <w:p>
            <w:pPr>
              <w:pStyle w:val="Compact"/>
              <w:jc w:val="left"/>
            </w:pPr>
            <w:r>
              <w:t xml:space="preserve">Reporting</w:t>
            </w:r>
          </w:p>
        </w:tc>
        <w:tc>
          <w:tcPr/>
          <w:p>
            <w:pPr>
              <w:pStyle w:val="Compact"/>
              <w:jc w:val="left"/>
            </w:pPr>
            <w:r>
              <w:t xml:space="preserve">18</w:t>
            </w:r>
          </w:p>
        </w:tc>
        <w:tc>
          <w:tcPr/>
          <w:p>
            <w:pPr>
              <w:pStyle w:val="Compact"/>
              <w:jc w:val="left"/>
            </w:pPr>
            <w:r>
              <w:t xml:space="preserve">$275.00</w:t>
            </w:r>
          </w:p>
        </w:tc>
        <w:tc>
          <w:tcPr/>
          <w:p>
            <w:pPr>
              <w:pStyle w:val="Compact"/>
              <w:jc w:val="left"/>
            </w:pPr>
            <w:r>
              <w:t xml:space="preserve">$4,950.00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$92,275.50</w:t>
            </w:r>
          </w:p>
        </w:tc>
      </w:tr>
      <w:tr>
        <w:tc>
          <w:tcPr/>
          <w:p>
            <w:pPr>
              <w:pStyle w:val="Compact"/>
              <w:jc w:val="left"/>
            </w:pPr>
            <w:r>
              <w:t xml:space="preserve">Florida State Sales Tax (7.0%)</w:t>
            </w:r>
          </w:p>
        </w:tc>
        <w:tc>
          <w:tcPr/>
          <w:p>
            <w:pPr>
              <w:pStyle w:val="Compact"/>
              <w:jc w:val="left"/>
            </w:pPr>
            <w:r>
              <w:t xml:space="preserve">$6,459.29</w:t>
            </w:r>
          </w:p>
        </w:tc>
      </w:tr>
      <w:tr>
        <w:tc>
          <w:tcPr/>
          <w:p>
            <w:pPr>
              <w:pStyle w:val="Compact"/>
              <w:jc w:val="left"/>
            </w:pPr>
            <w:r>
              <w:t xml:space="preserve">Miami-Dade County Surcharge (0.5%)</w:t>
            </w:r>
          </w:p>
        </w:tc>
        <w:tc>
          <w:tcPr/>
          <w:p>
            <w:pPr>
              <w:pStyle w:val="Compact"/>
              <w:jc w:val="left"/>
            </w:pPr>
            <w:r>
              <w:t xml:space="preserve">$461.38</w:t>
            </w:r>
          </w:p>
        </w:tc>
      </w:tr>
      <w:tr>
        <w:tc>
          <w:tcPr/>
          <w:p>
            <w:pPr>
              <w:pStyle w:val="Compact"/>
              <w:jc w:val="left"/>
            </w:pPr>
            <w:r>
              <w:t xml:space="preserve">Early Payment Discount (2% if paid before June 30, 2025)</w:t>
            </w:r>
          </w:p>
        </w:tc>
        <w:tc>
          <w:tcPr/>
          <w:p>
            <w:pPr>
              <w:pStyle w:val="Compact"/>
              <w:jc w:val="left"/>
            </w:pPr>
            <w:r>
              <w:t xml:space="preserve">($1,845.51)</w:t>
            </w:r>
          </w:p>
        </w:tc>
      </w:tr>
      <w:tr>
        <w:tc>
          <w:tcPr/>
          <w:p>
            <w:pPr>
              <w:pStyle w:val="Compact"/>
              <w:jc w:val="left"/>
            </w:pPr>
            <w:r>
              <w:t xml:space="preserve">Grand Total Due</w:t>
            </w:r>
          </w:p>
        </w:tc>
        <w:tc>
          <w:tcPr/>
          <w:p>
            <w:pPr>
              <w:pStyle w:val="Compact"/>
              <w:jc w:val="left"/>
            </w:pPr>
            <w:r>
              <w:t xml:space="preserve">$97,350.66</w:t>
            </w:r>
          </w:p>
        </w:tc>
      </w:tr>
    </w:tbl>
    <w:bookmarkStart w:id="24" w:name="payment-instructions"/>
    <w:p>
      <w:pPr>
        <w:pStyle w:val="Heading3"/>
      </w:pPr>
      <w:r>
        <w:t xml:space="preserve">Payment Instructions</w:t>
      </w:r>
    </w:p>
    <w:p>
      <w:pPr>
        <w:pStyle w:val="FirstParagraph"/>
      </w:pPr>
      <w:r>
        <w:rPr>
          <w:bCs/>
          <w:b/>
        </w:rPr>
        <w:t xml:space="preserve">Method 1 – Wire Transfer:</w:t>
      </w:r>
      <w:r>
        <w:t xml:space="preserve"> </w:t>
      </w:r>
      <w:r>
        <w:t xml:space="preserve">First National Bank of Miami, Routing No. 021000021, Account No. 4482-7719-003, ABA/SWIFT: FNBMUS33. Reference: INV-2025-0472.</w:t>
      </w:r>
    </w:p>
    <w:p>
      <w:pPr>
        <w:pStyle w:val="BodyText"/>
      </w:pPr>
      <w:r>
        <w:rPr>
          <w:bCs/>
          <w:b/>
        </w:rPr>
        <w:t xml:space="preserve">Method 2 – ACH Debit:</w:t>
      </w:r>
      <w:r>
        <w:t xml:space="preserve"> </w:t>
      </w:r>
      <w:r>
        <w:t xml:space="preserve">Same account details. Please allow 3–5 business days for processing.</w:t>
      </w:r>
    </w:p>
    <w:p>
      <w:pPr>
        <w:pStyle w:val="BodyText"/>
      </w:pPr>
      <w:r>
        <w:rPr>
          <w:bCs/>
          <w:b/>
        </w:rPr>
        <w:t xml:space="preserve">Method 3 – Check:</w:t>
      </w:r>
      <w:r>
        <w:t xml:space="preserve"> </w:t>
      </w:r>
      <w:r>
        <w:t xml:space="preserve">Make payable to "Apex Financial Audit Group, LLC" and mail to 1200 Brickell Avenue, Suite 2400, Miami, FL 33131, United States.</w:t>
      </w:r>
    </w:p>
    <w:p>
      <w:pPr>
        <w:pStyle w:val="BodyText"/>
      </w:pPr>
      <w:r>
        <w:rPr>
          <w:bCs/>
          <w:b/>
        </w:rPr>
        <w:t xml:space="preserve">Payment Terms:</w:t>
      </w:r>
      <w:r>
        <w:t xml:space="preserve"> </w:t>
      </w:r>
      <w:r>
        <w:t xml:space="preserve">Net 30 days from the Invoice date. Late payments are subject to a 1.5% monthly interest charge as permitted under Florida Statute 559.71.</w:t>
      </w:r>
    </w:p>
    <w:bookmarkEnd w:id="24"/>
    <w:bookmarkStart w:id="25" w:name="important-notes-regarding-this-invoice"/>
    <w:p>
      <w:pPr>
        <w:pStyle w:val="Heading3"/>
      </w:pPr>
      <w:r>
        <w:t xml:space="preserve">Important Notes Regarding This Invoice</w:t>
      </w:r>
    </w:p>
    <w:p>
      <w:pPr>
        <w:pStyle w:val="FirstParagraph"/>
      </w:pPr>
      <w:r>
        <w:t xml:space="preserve">1. This Invoice covers all professional services rendered by the Auditor team of Apex Financial Audit Group, LLC during the engagement period of May 1 through May 31, 2025, at the client's premises in United States Miami, Florida.</w:t>
      </w:r>
    </w:p>
    <w:p>
      <w:pPr>
        <w:pStyle w:val="BodyText"/>
      </w:pPr>
      <w:r>
        <w:t xml:space="preserve">2. All audit procedures were performed in accordance with Generally Accepted Auditing Standards (GAAS) issued by the AICPA and applicable Florida Board of Accountancy regulations. The Auditor maintains full professional independence and objectivity as required by the AICPA Code of Professional Conduct.</w:t>
      </w:r>
    </w:p>
    <w:p>
      <w:pPr>
        <w:pStyle w:val="BodyText"/>
      </w:pPr>
      <w:r>
        <w:t xml:space="preserve">3. The forensic investigation findings (Line Item 3) are provided under attorney-client privilege and should not be distributed beyond the client's legal counsel and Board of Directors without prior written consent from the Lead Auditor.</w:t>
      </w:r>
    </w:p>
    <w:p>
      <w:pPr>
        <w:pStyle w:val="BodyText"/>
      </w:pPr>
      <w:r>
        <w:t xml:space="preserve">4. Any disputes regarding this Invoice must be submitted in writing within fifteen (15) calendar days of the Invoice date. Unresolved disputes will be governed by the arbitration clause in the Master Services Agreement dated January 10, 2025, with proceedings held in Miami, Florida, United States.</w:t>
      </w:r>
    </w:p>
    <w:p>
      <w:pPr>
        <w:pStyle w:val="BodyText"/>
      </w:pPr>
      <w:r>
        <w:t xml:space="preserve">5. This Invoice is valid for 90 days from the date of issue. After the expiration date, the early payment discount will no longer apply, and the full amount of $97,350.66 will be due.</w:t>
      </w:r>
    </w:p>
    <w:bookmarkEnd w:id="25"/>
    <w:p>
      <w:pPr>
        <w:pStyle w:val="BodyText"/>
      </w:pPr>
      <w:r>
        <w:rPr>
          <w:bCs/>
          <w:b/>
        </w:rPr>
        <w:t xml:space="preserve">Apex Financial Audit Group, LLC</w:t>
      </w:r>
      <w:r>
        <w:t xml:space="preserve"> </w:t>
      </w:r>
      <w:r>
        <w:t xml:space="preserve">| 1200 Brickell Avenue, Suite 2400, Miami, FL 33131, United States</w:t>
      </w:r>
    </w:p>
    <w:p>
      <w:pPr>
        <w:pStyle w:val="BodyText"/>
      </w:pPr>
      <w:r>
        <w:t xml:space="preserve">Florida CPA Firm License No. 2024-FL-08842 | AICPA Member | Florida Society of CPAs Member</w:t>
      </w:r>
    </w:p>
    <w:p>
      <w:pPr>
        <w:pStyle w:val="BodyText"/>
      </w:pPr>
      <w:r>
        <w:t xml:space="preserve">This Invoice was generated electronically and is valid without a physical signature. For questions regarding this Invoice, contact billing@apexauditmiami.com or call (305) 555-0187.</w:t>
      </w:r>
    </w:p>
    <w:p>
      <w:pPr>
        <w:pStyle w:val="BodyText"/>
      </w:pPr>
      <w:r>
        <w:t xml:space="preserve">© 2025 Apex Financial Audit Group, LLC. All rights reserved. This document is the property of the issuing Auditor firm and may not be reproduced without written permission.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Auditor Services - United States Miami</dc:title>
  <dc:creator/>
  <dc:language>en</dc:language>
  <cp:keywords/>
  <dcterms:created xsi:type="dcterms:W3CDTF">2026-10-10T02:42:34Z</dcterms:created>
  <dcterms:modified xsi:type="dcterms:W3CDTF">2026-10-10T02:42:34Z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