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audit-advisory-group"/>
    <w:p>
      <w:pPr>
        <w:pStyle w:val="Heading1"/>
      </w:pPr>
      <w:r>
        <w:t xml:space="preserve">Golden Gate Audit &amp; Advisory Group</w:t>
      </w:r>
    </w:p>
    <w:p>
      <w:pPr>
        <w:pStyle w:val="FirstParagraph"/>
      </w:pPr>
      <w:r>
        <w:t xml:space="preserve">1250 Market Street, Suite 2400</w:t>
      </w:r>
    </w:p>
    <w:p>
      <w:pPr>
        <w:pStyle w:val="BodyText"/>
      </w:pPr>
      <w:r>
        <w:t xml:space="preserve">San Francisco, California 94102</w:t>
      </w:r>
    </w:p>
    <w:p>
      <w:pPr>
        <w:pStyle w:val="BodyText"/>
      </w:pPr>
      <w:r>
        <w:t xml:space="preserve">United States of America</w:t>
      </w:r>
    </w:p>
    <w:p>
      <w:pPr>
        <w:pStyle w:val="BodyText"/>
      </w:pPr>
      <w:r>
        <w:t xml:space="preserve">Phone: (415) 555-0187 | Email: billing@ggaaudit.com</w:t>
      </w:r>
    </w:p>
    <w:p>
      <w:pPr>
        <w:pStyle w:val="BodyText"/>
      </w:pPr>
      <w:r>
        <w:t xml:space="preserve">CA License No. 14872 | IRS EIN: 94-2837461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GGA-2025-0487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March 1 – May 31, 2025</w:t>
      </w:r>
    </w:p>
    <w:p>
      <w:pPr>
        <w:pStyle w:val="BodyText"/>
      </w:pPr>
      <w:r>
        <w:t xml:space="preserve">Auditor Services</w:t>
      </w:r>
    </w:p>
    <w:bookmarkEnd w:id="21"/>
    <w:bookmarkStart w:id="22" w:name="billed-to-client"/>
    <w:p>
      <w:pPr>
        <w:pStyle w:val="Heading3"/>
      </w:pPr>
      <w:r>
        <w:t xml:space="preserve">Billed To (Client)</w:t>
      </w:r>
    </w:p>
    <w:p>
      <w:pPr>
        <w:pStyle w:val="FirstParagraph"/>
      </w:pPr>
      <w:r>
        <w:rPr>
          <w:bCs/>
          <w:b/>
        </w:rPr>
        <w:t xml:space="preserve">Bay Area Technology Holdings, Inc.</w:t>
      </w:r>
    </w:p>
    <w:p>
      <w:pPr>
        <w:pStyle w:val="BodyText"/>
      </w:pPr>
      <w:r>
        <w:t xml:space="preserve">2200 Mission Street, Floor 18</w:t>
      </w:r>
    </w:p>
    <w:p>
      <w:pPr>
        <w:pStyle w:val="BodyText"/>
      </w:pPr>
      <w:r>
        <w:t xml:space="preserve">San Francisco, California 94110</w:t>
      </w:r>
    </w:p>
    <w:p>
      <w:pPr>
        <w:pStyle w:val="BodyText"/>
      </w:pPr>
      <w:r>
        <w:t xml:space="preserve">United States</w:t>
      </w:r>
    </w:p>
    <w:p>
      <w:pPr>
        <w:pStyle w:val="BodyText"/>
      </w:pPr>
      <w:r>
        <w:t xml:space="preserve">Attn: Margaret Chen, Chief Financial Officer</w:t>
      </w:r>
    </w:p>
    <w:p>
      <w:pPr>
        <w:pStyle w:val="BodyText"/>
      </w:pPr>
      <w:r>
        <w:t xml:space="preserve">Client Account No.: BATH-2024-0091</w:t>
      </w:r>
    </w:p>
    <w:bookmarkEnd w:id="22"/>
    <w:bookmarkStart w:id="23" w:name="prepared-by-auditor"/>
    <w:p>
      <w:pPr>
        <w:pStyle w:val="Heading3"/>
      </w:pPr>
      <w:r>
        <w:t xml:space="preserve">Prepared By (Auditor)</w:t>
      </w:r>
    </w:p>
    <w:p>
      <w:pPr>
        <w:pStyle w:val="FirstParagraph"/>
      </w:pPr>
      <w:r>
        <w:rPr>
          <w:bCs/>
          <w:b/>
        </w:rPr>
        <w:t xml:space="preserve">David R. Whitfield, CPA, CFE</w:t>
      </w:r>
    </w:p>
    <w:p>
      <w:pPr>
        <w:pStyle w:val="BodyText"/>
      </w:pPr>
      <w:r>
        <w:t xml:space="preserve">Lead Auditor, Financial Compliance Division</w:t>
      </w:r>
    </w:p>
    <w:p>
      <w:pPr>
        <w:pStyle w:val="BodyText"/>
      </w:pPr>
      <w:r>
        <w:t xml:space="preserve">Golden Gate Audit &amp; Advisory Group</w:t>
      </w:r>
    </w:p>
    <w:p>
      <w:pPr>
        <w:pStyle w:val="BodyText"/>
      </w:pPr>
      <w:r>
        <w:t xml:space="preserve">San Francisco, California 94102</w:t>
      </w:r>
    </w:p>
    <w:p>
      <w:pPr>
        <w:pStyle w:val="BodyText"/>
      </w:pPr>
      <w:r>
        <w:t xml:space="preserve">United States</w:t>
      </w:r>
    </w:p>
    <w:p>
      <w:pPr>
        <w:pStyle w:val="BodyText"/>
      </w:pPr>
      <w:r>
        <w:t xml:space="preserve">Direct: (415) 555-0192 | d.whitfield@ggaaudit.com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Annual Financial Statement Audit – Review of balance sheets, income statements, and cash flow statements for fiscal year 2024 in compliance with U.S. Generally Accepted Accounting Principles (GAAP) as applicable in San Francisco, California.</w:t>
            </w:r>
          </w:p>
        </w:tc>
        <w:tc>
          <w:tcPr/>
          <w:p>
            <w:pPr>
              <w:pStyle w:val="Compact"/>
              <w:jc w:val="left"/>
            </w:pPr>
            <w:r>
              <w:t xml:space="preserve">Mar 3 – Mar 28, 2025</w:t>
            </w:r>
          </w:p>
        </w:tc>
        <w:tc>
          <w:tcPr/>
          <w:p>
            <w:pPr>
              <w:pStyle w:val="Compact"/>
              <w:jc w:val="left"/>
            </w:pPr>
            <w:r>
              <w:t xml:space="preserve">120</w:t>
            </w:r>
          </w:p>
        </w:tc>
        <w:tc>
          <w:tcPr/>
          <w:p>
            <w:pPr>
              <w:pStyle w:val="Compact"/>
              <w:jc w:val="left"/>
            </w:pPr>
            <w:r>
              <w:t xml:space="preserve">$225.00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Internal Controls Assessment – Comprehensive evaluation of the client's internal control environment, risk assessment processes, and compliance with the Sarbanes-Oxley Act (SOX) Section 404 requirements for publicly traded entities operating in the United States.</w:t>
            </w:r>
          </w:p>
        </w:tc>
        <w:tc>
          <w:tcPr/>
          <w:p>
            <w:pPr>
              <w:pStyle w:val="Compact"/>
              <w:jc w:val="left"/>
            </w:pPr>
            <w:r>
              <w:t xml:space="preserve">Apr 1 – Apr 25, 2025</w:t>
            </w:r>
          </w:p>
        </w:tc>
        <w:tc>
          <w:tcPr/>
          <w:p>
            <w:pPr>
              <w:pStyle w:val="Compact"/>
              <w:jc w:val="left"/>
            </w:pPr>
            <w:r>
              <w:t xml:space="preserve">85</w:t>
            </w:r>
          </w:p>
        </w:tc>
        <w:tc>
          <w:tcPr/>
          <w:p>
            <w:pPr>
              <w:pStyle w:val="Compact"/>
              <w:jc w:val="left"/>
            </w:pPr>
            <w:r>
              <w:t xml:space="preserve">$225.00</w:t>
            </w:r>
          </w:p>
        </w:tc>
        <w:tc>
          <w:tcPr/>
          <w:p>
            <w:pPr>
              <w:pStyle w:val="Compact"/>
              <w:jc w:val="left"/>
            </w:pPr>
            <w:r>
              <w:t xml:space="preserve">$19,125.00</w:t>
            </w:r>
          </w:p>
        </w:tc>
      </w:tr>
      <w:tr>
        <w:tc>
          <w:tcPr/>
          <w:p>
            <w:pPr>
              <w:pStyle w:val="Compact"/>
              <w:jc w:val="left"/>
            </w:pPr>
            <w:r>
              <w:t xml:space="preserve">3</w:t>
            </w:r>
          </w:p>
        </w:tc>
        <w:tc>
          <w:tcPr/>
          <w:p>
            <w:pPr>
              <w:pStyle w:val="Compact"/>
              <w:jc w:val="left"/>
            </w:pPr>
            <w:r>
              <w:t xml:space="preserve">Tax Compliance Audit – Examination of federal and California state tax filings, including verification of sales and use tax obligations specific to San Francisco municipal tax codes and the California Franchise Tax Board requirements.</w:t>
            </w:r>
          </w:p>
        </w:tc>
        <w:tc>
          <w:tcPr/>
          <w:p>
            <w:pPr>
              <w:pStyle w:val="Compact"/>
              <w:jc w:val="left"/>
            </w:pPr>
            <w:r>
              <w:t xml:space="preserve">Apr 28 – May 10, 2025</w:t>
            </w:r>
          </w:p>
        </w:tc>
        <w:tc>
          <w:tcPr/>
          <w:p>
            <w:pPr>
              <w:pStyle w:val="Compact"/>
              <w:jc w:val="left"/>
            </w:pPr>
            <w:r>
              <w:t xml:space="preserve">48</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4</w:t>
            </w:r>
          </w:p>
        </w:tc>
        <w:tc>
          <w:tcPr/>
          <w:p>
            <w:pPr>
              <w:pStyle w:val="Compact"/>
              <w:jc w:val="left"/>
            </w:pPr>
            <w:r>
              <w:t xml:space="preserve">Forensic Audit &amp; Fraud Detection – Targeted investigation into irregular transactions identified during preliminary review, including digital forensics of electronic payment records and vendor reconciliation across all San Francisco office locations.</w:t>
            </w:r>
          </w:p>
        </w:tc>
        <w:tc>
          <w:tcPr/>
          <w:p>
            <w:pPr>
              <w:pStyle w:val="Compact"/>
              <w:jc w:val="left"/>
            </w:pPr>
            <w:r>
              <w:t xml:space="preserve">May 12 – May 22, 2025</w:t>
            </w:r>
          </w:p>
        </w:tc>
        <w:tc>
          <w:tcPr/>
          <w:p>
            <w:pPr>
              <w:pStyle w:val="Compact"/>
              <w:jc w:val="left"/>
            </w:pPr>
            <w:r>
              <w:t xml:space="preserve">36</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5</w:t>
            </w:r>
          </w:p>
        </w:tc>
        <w:tc>
          <w:tcPr/>
          <w:p>
            <w:pPr>
              <w:pStyle w:val="Compact"/>
              <w:jc w:val="left"/>
            </w:pPr>
            <w:r>
              <w:t xml:space="preserve">Auditor's Report &amp; Management Letter – Preparation and delivery of the final independent auditor's opinion letter, management letter detailing findings, recommendations for corrective actions, and compliance certification for filing with the U.S. Securities and Exchange Commission (SEC).</w:t>
            </w:r>
          </w:p>
        </w:tc>
        <w:tc>
          <w:tcPr/>
          <w:p>
            <w:pPr>
              <w:pStyle w:val="Compact"/>
              <w:jc w:val="left"/>
            </w:pPr>
            <w:r>
              <w:t xml:space="preserve">May 23 – May 31, 2025</w:t>
            </w:r>
          </w:p>
        </w:tc>
        <w:tc>
          <w:tcPr/>
          <w:p>
            <w:pPr>
              <w:pStyle w:val="Compact"/>
              <w:jc w:val="left"/>
            </w:pPr>
            <w:r>
              <w:t xml:space="preserve">22</w:t>
            </w:r>
          </w:p>
        </w:tc>
        <w:tc>
          <w:tcPr/>
          <w:p>
            <w:pPr>
              <w:pStyle w:val="Compact"/>
              <w:jc w:val="left"/>
            </w:pPr>
            <w:r>
              <w:t xml:space="preserve">$225.00</w:t>
            </w:r>
          </w:p>
        </w:tc>
        <w:tc>
          <w:tcPr/>
          <w:p>
            <w:pPr>
              <w:pStyle w:val="Compact"/>
              <w:jc w:val="left"/>
            </w:pPr>
            <w:r>
              <w:t xml:space="preserve">$4,950.00</w:t>
            </w:r>
          </w:p>
        </w:tc>
      </w:tr>
      <w:tr>
        <w:tc>
          <w:tcPr/>
          <w:p>
            <w:pPr>
              <w:pStyle w:val="Compact"/>
              <w:jc w:val="left"/>
            </w:pPr>
            <w:r>
              <w:t xml:space="preserve">6</w:t>
            </w:r>
          </w:p>
        </w:tc>
        <w:tc>
          <w:tcPr/>
          <w:p>
            <w:pPr>
              <w:pStyle w:val="Compact"/>
              <w:jc w:val="left"/>
            </w:pPr>
            <w:r>
              <w:t xml:space="preserve">Travel &amp; On-Site Inspection – Travel expenses for the auditor team conducting physical inventory verification and facility inspections at the client's three San Francisco, California office locations, including parking, transit, and per diem as permitted under U.S. federal travel regulations.</w:t>
            </w:r>
          </w:p>
        </w:tc>
        <w:tc>
          <w:tcPr/>
          <w:p>
            <w:pPr>
              <w:pStyle w:val="Compact"/>
              <w:jc w:val="left"/>
            </w:pPr>
            <w:r>
              <w:t xml:space="preserve">Mar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$73,395.00</w:t>
            </w:r>
          </w:p>
        </w:tc>
      </w:tr>
      <w:tr>
        <w:tc>
          <w:tcPr/>
          <w:p>
            <w:pPr>
              <w:pStyle w:val="Compact"/>
              <w:jc w:val="left"/>
            </w:pPr>
            <w:r>
              <w:t xml:space="preserve">California State Sales Tax (8.5%)</w:t>
            </w:r>
          </w:p>
        </w:tc>
        <w:tc>
          <w:tcPr/>
          <w:p>
            <w:pPr>
              <w:pStyle w:val="Compact"/>
              <w:jc w:val="left"/>
            </w:pPr>
            <w:r>
              <w:t xml:space="preserve">$6,238.58</w:t>
            </w:r>
          </w:p>
        </w:tc>
      </w:tr>
      <w:tr>
        <w:tc>
          <w:tcPr/>
          <w:p>
            <w:pPr>
              <w:pStyle w:val="Compact"/>
              <w:jc w:val="left"/>
            </w:pPr>
            <w:r>
              <w:t xml:space="preserve">San Francisco Municipal Business Tax (1.5%)</w:t>
            </w:r>
          </w:p>
        </w:tc>
        <w:tc>
          <w:tcPr/>
          <w:p>
            <w:pPr>
              <w:pStyle w:val="Compact"/>
              <w:jc w:val="left"/>
            </w:pPr>
            <w:r>
              <w:t xml:space="preserve">$1,100.93</w:t>
            </w:r>
          </w:p>
        </w:tc>
      </w:tr>
      <w:tr>
        <w:tc>
          <w:tcPr/>
          <w:p>
            <w:pPr>
              <w:pStyle w:val="Compact"/>
              <w:jc w:val="left"/>
            </w:pPr>
            <w:r>
              <w:t xml:space="preserve">Early Payment Discount (2% if paid before June 26, 2025)</w:t>
            </w:r>
          </w:p>
        </w:tc>
        <w:tc>
          <w:tcPr/>
          <w:p>
            <w:pPr>
              <w:pStyle w:val="Compact"/>
              <w:jc w:val="left"/>
            </w:pPr>
            <w:r>
              <w:t xml:space="preserve">($1,467.90)</w:t>
            </w:r>
          </w:p>
        </w:tc>
      </w:tr>
      <w:tr>
        <w:tc>
          <w:tcPr/>
          <w:p>
            <w:pPr>
              <w:pStyle w:val="Compact"/>
              <w:jc w:val="left"/>
            </w:pPr>
            <w:r>
              <w:t xml:space="preserve">Grand Total Due</w:t>
            </w:r>
          </w:p>
        </w:tc>
        <w:tc>
          <w:tcPr/>
          <w:p>
            <w:pPr>
              <w:pStyle w:val="Compact"/>
              <w:jc w:val="left"/>
            </w:pPr>
            <w:r>
              <w:t xml:space="preserve">$79,266.61</w:t>
            </w:r>
          </w:p>
        </w:tc>
      </w:tr>
    </w:tbl>
    <w:bookmarkStart w:id="24" w:name="notes-terms-of-engagement"/>
    <w:p>
      <w:pPr>
        <w:pStyle w:val="Heading3"/>
      </w:pPr>
      <w:r>
        <w:t xml:space="preserve">Notes &amp; Terms of Engagement</w:t>
      </w:r>
    </w:p>
    <w:p>
      <w:pPr>
        <w:pStyle w:val="FirstParagraph"/>
      </w:pPr>
      <w:r>
        <w:t xml:space="preserve">This invoice is issued by Golden Gate Audit &amp; Advisory Group, a licensed auditing firm headquartered in San Francisco, California, United States, in accordance with the engagement letter dated February 1, 2025, between the Auditor and Bay Area Technology Holdings, Inc.</w:t>
      </w:r>
    </w:p>
    <w:p>
      <w:pPr>
        <w:pStyle w:val="BodyText"/>
      </w:pPr>
      <w:r>
        <w:t xml:space="preserve">All auditing services described herein were performed in strict compliance with the standards of the U.S. Public Company Accounting Oversight Board (PCAOB) and the American Institute of Certified Public Accountants (AICPA). The Auditor maintains full professional independence as required under U.S. federal securities law and California Business and Professions Code Section 5054.</w:t>
      </w:r>
    </w:p>
    <w:p>
      <w:pPr>
        <w:pStyle w:val="BodyText"/>
      </w:pPr>
      <w:r>
        <w:t xml:space="preserve">Payment is due within thirty (30) days of the issue date. Late payments shall accrue interest at a rate of 1.5% per month as permitted under California Civil Code Section 3289. Please reference Invoice No. GGA-2025-0487 on all correspondence and remittances.</w:t>
      </w:r>
    </w:p>
    <w:p>
      <w:pPr>
        <w:pStyle w:val="BodyText"/>
      </w:pPr>
      <w:r>
        <w:t xml:space="preserve">This invoice constitutes a formal request for payment for professional auditor services rendered in the United States, specifically within the jurisdiction of San Francisco, California. All fees are denominated in United States Dollars (USD).</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Republic Bank, San Francisco, CA</w:t>
      </w:r>
    </w:p>
    <w:p>
      <w:pPr>
        <w:pStyle w:val="BodyText"/>
      </w:pPr>
      <w:r>
        <w:rPr>
          <w:bCs/>
          <w:b/>
        </w:rPr>
        <w:t xml:space="preserve">Account Name:</w:t>
      </w:r>
      <w:r>
        <w:t xml:space="preserve"> </w:t>
      </w:r>
      <w:r>
        <w:t xml:space="preserve">Golden Gate Audit &amp; Advisory Group</w:t>
      </w:r>
    </w:p>
    <w:p>
      <w:pPr>
        <w:pStyle w:val="BodyText"/>
      </w:pPr>
      <w:r>
        <w:rPr>
          <w:bCs/>
          <w:b/>
        </w:rPr>
        <w:t xml:space="preserve">Routing No.:</w:t>
      </w:r>
      <w:r>
        <w:t xml:space="preserve"> </w:t>
      </w:r>
      <w:r>
        <w:t xml:space="preserve">121000358</w:t>
      </w:r>
    </w:p>
    <w:p>
      <w:pPr>
        <w:pStyle w:val="BodyText"/>
      </w:pPr>
      <w:r>
        <w:rPr>
          <w:bCs/>
          <w:b/>
        </w:rPr>
        <w:t xml:space="preserve">Account No.:</w:t>
      </w:r>
      <w:r>
        <w:t xml:space="preserve"> </w:t>
      </w:r>
      <w:r>
        <w:t xml:space="preserve">0048-7721-3356</w:t>
      </w:r>
    </w:p>
    <w:p>
      <w:pPr>
        <w:pStyle w:val="BodyText"/>
      </w:pPr>
      <w:r>
        <w:rPr>
          <w:bCs/>
          <w:b/>
        </w:rPr>
        <w:t xml:space="preserve">SWIFT/BIC:</w:t>
      </w:r>
      <w:r>
        <w:t xml:space="preserve"> </w:t>
      </w:r>
      <w:r>
        <w:t xml:space="preserve">FRBKUS33</w:t>
      </w:r>
    </w:p>
    <w:p>
      <w:pPr>
        <w:pStyle w:val="BodyText"/>
      </w:pPr>
      <w:r>
        <w:rPr>
          <w:bCs/>
          <w:b/>
        </w:rPr>
        <w:t xml:space="preserve">Check ACH:</w:t>
      </w:r>
      <w:r>
        <w:t xml:space="preserve"> </w:t>
      </w:r>
      <w:r>
        <w:t xml:space="preserve">Yes |</w:t>
      </w:r>
      <w:r>
        <w:t xml:space="preserve"> </w:t>
      </w:r>
      <w:r>
        <w:rPr>
          <w:bCs/>
          <w:b/>
        </w:rPr>
        <w:t xml:space="preserve">Wire:</w:t>
      </w:r>
      <w:r>
        <w:t xml:space="preserve"> </w:t>
      </w:r>
      <w:r>
        <w:t xml:space="preserve">Yes</w:t>
      </w:r>
    </w:p>
    <w:bookmarkEnd w:id="25"/>
    <w:bookmarkStart w:id="26" w:name="authorized-signatory"/>
    <w:p>
      <w:pPr>
        <w:pStyle w:val="Heading3"/>
      </w:pPr>
      <w:r>
        <w:t xml:space="preserve">Authorized Signatory</w:t>
      </w:r>
    </w:p>
    <w:p>
      <w:pPr>
        <w:pStyle w:val="FirstParagraph"/>
      </w:pPr>
      <w:r>
        <w:rPr>
          <w:bCs/>
          <w:b/>
        </w:rPr>
        <w:t xml:space="preserve">David R. Whitfield, CPA, CFE</w:t>
      </w:r>
    </w:p>
    <w:p>
      <w:pPr>
        <w:pStyle w:val="BodyText"/>
      </w:pPr>
      <w:r>
        <w:t xml:space="preserve">Lead Auditor &amp; Managing Partner</w:t>
      </w:r>
    </w:p>
    <w:p>
      <w:pPr>
        <w:pStyle w:val="BodyText"/>
      </w:pPr>
      <w:r>
        <w:t xml:space="preserve">Golden Gate Audit &amp; Advisory Group</w:t>
      </w:r>
    </w:p>
    <w:p>
      <w:pPr>
        <w:pStyle w:val="BodyText"/>
      </w:pPr>
      <w:r>
        <w:t xml:space="preserve">San Francisco, California 94102</w:t>
      </w:r>
    </w:p>
    <w:p>
      <w:pPr>
        <w:pStyle w:val="BodyText"/>
      </w:pPr>
      <w:r>
        <w:t xml:space="preserve">United States of America</w:t>
      </w:r>
    </w:p>
    <w:p>
      <w:pPr>
        <w:pStyle w:val="BodyText"/>
      </w:pPr>
      <w:r>
        <w:t xml:space="preserve">Signature:</w:t>
      </w:r>
      <w:r>
        <w:t xml:space="preserve"> </w:t>
      </w:r>
      <w:r>
        <w:rPr>
          <w:iCs/>
          <w:i/>
        </w:rPr>
        <w:t xml:space="preserve">/s/ David R. Whitfield</w:t>
      </w:r>
    </w:p>
    <w:p>
      <w:pPr>
        <w:pStyle w:val="BodyText"/>
      </w:pPr>
      <w:r>
        <w:t xml:space="preserve">Date: June 12, 2025</w:t>
      </w:r>
    </w:p>
    <w:bookmarkEnd w:id="26"/>
    <w:p>
      <w:pPr>
        <w:pStyle w:val="BodyText"/>
      </w:pPr>
      <w:r>
        <w:rPr>
          <w:bCs/>
          <w:b/>
        </w:rPr>
        <w:t xml:space="preserve">Golden Gate Audit &amp; Advisory Group</w:t>
      </w:r>
      <w:r>
        <w:t xml:space="preserve"> </w:t>
      </w:r>
      <w:r>
        <w:t xml:space="preserve">| 1250 Market Street, Suite 2400, San Francisco, CA 94102, United States</w:t>
      </w:r>
    </w:p>
    <w:p>
      <w:pPr>
        <w:pStyle w:val="BodyText"/>
      </w:pPr>
      <w:r>
        <w:t xml:space="preserve">CA Board of Accountancy License No. 14872 | Member AICPA | PCAOB Registered Firm No. 3847</w:t>
      </w:r>
    </w:p>
    <w:p>
      <w:pPr>
        <w:pStyle w:val="BodyText"/>
      </w:pPr>
      <w:r>
        <w:t xml:space="preserve">This invoice was generated electronically and is valid without a physical signature. For questions regarding this invoice, please contact our billing department at (415) 555-0187 or billing@ggaaudit.com.</w:t>
      </w:r>
    </w:p>
    <w:p>
      <w:pPr>
        <w:pStyle w:val="BodyText"/>
      </w:pPr>
      <w:r>
        <w:t xml:space="preserve">Thank you for engaging our auditor services. We are committed to delivering the highest standard of financial integrity and transparency to businesses in San Francisco and throughout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San Francisco, United States</dc:title>
  <dc:creator/>
  <dc:language>en</dc:language>
  <cp:keywords/>
  <dcterms:created xsi:type="dcterms:W3CDTF">2026-10-10T03:48:12Z</dcterms:created>
  <dcterms:modified xsi:type="dcterms:W3CDTF">2026-10-10T03:48:12Z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