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Uzbekistan</w:t>
      </w:r>
      <w:r>
        <w:t xml:space="preserve"> </w:t>
      </w:r>
      <w:r>
        <w:t xml:space="preserve">Tashkent</w:t>
      </w:r>
    </w:p>
    <w:bookmarkStart w:id="20" w:name="tashkent-audit-compliance-llp"/>
    <w:p>
      <w:pPr>
        <w:pStyle w:val="Heading1"/>
      </w:pPr>
      <w:r>
        <w:t xml:space="preserve">Tashkent Audit &amp; Compliance LLP</w:t>
      </w:r>
    </w:p>
    <w:p>
      <w:pPr>
        <w:pStyle w:val="FirstParagraph"/>
      </w:pPr>
      <w:r>
        <w:t xml:space="preserve">12 Amir Temur Avenue, Block 4, Suite 310</w:t>
      </w:r>
    </w:p>
    <w:p>
      <w:pPr>
        <w:pStyle w:val="BodyText"/>
      </w:pPr>
      <w:r>
        <w:t xml:space="preserve">Mirzo Ulugbek District, Tashkent, 100084, Uzbekistan</w:t>
      </w:r>
    </w:p>
    <w:p>
      <w:pPr>
        <w:pStyle w:val="BodyText"/>
      </w:pPr>
      <w:r>
        <w:t xml:space="preserve">Tel: +998 (71) 200-45-67 | Email: billing@tashkentaudit.uz</w:t>
      </w:r>
    </w:p>
    <w:p>
      <w:pPr>
        <w:pStyle w:val="BodyText"/>
      </w:pPr>
      <w:r>
        <w:t xml:space="preserve">State Registration No. 100084-7721 | VAT ID: 200145678</w:t>
      </w:r>
    </w:p>
    <w:bookmarkEnd w:id="20"/>
    <w:bookmarkStart w:id="21" w:name="invoice"/>
    <w:p>
      <w:pPr>
        <w:pStyle w:val="Heading2"/>
      </w:pPr>
      <w:r>
        <w:t xml:space="preserve">INVOICE</w:t>
      </w:r>
    </w:p>
    <w:p>
      <w:pPr>
        <w:pStyle w:val="FirstParagraph"/>
      </w:pPr>
      <w:r>
        <w:t xml:space="preserve">Invoice No: TA-2025-04871</w:t>
      </w:r>
    </w:p>
    <w:p>
      <w:pPr>
        <w:pStyle w:val="BodyText"/>
      </w:pPr>
      <w:r>
        <w:t xml:space="preserve">Date of Issue: 15 June 2025</w:t>
      </w:r>
    </w:p>
    <w:p>
      <w:pPr>
        <w:pStyle w:val="BodyText"/>
      </w:pPr>
      <w:r>
        <w:t xml:space="preserve">Due Date: 30 June 2025</w:t>
      </w:r>
    </w:p>
    <w:bookmarkEnd w:id="21"/>
    <w:bookmarkStart w:id="22" w:name="billed-to-client"/>
    <w:p>
      <w:pPr>
        <w:pStyle w:val="Heading3"/>
      </w:pPr>
      <w:r>
        <w:t xml:space="preserve">Billed To (Client)</w:t>
      </w:r>
    </w:p>
    <w:p>
      <w:pPr>
        <w:pStyle w:val="FirstParagraph"/>
      </w:pPr>
      <w:r>
        <w:rPr>
          <w:bCs/>
          <w:b/>
        </w:rPr>
        <w:t xml:space="preserve">Uzbekistan National Textile Holdings JSC</w:t>
      </w:r>
    </w:p>
    <w:p>
      <w:pPr>
        <w:pStyle w:val="BodyText"/>
      </w:pPr>
      <w:r>
        <w:t xml:space="preserve">45 Bunyodkor Street, Chilonzor District</w:t>
      </w:r>
    </w:p>
    <w:p>
      <w:pPr>
        <w:pStyle w:val="BodyText"/>
      </w:pPr>
      <w:r>
        <w:t xml:space="preserve">Tashkent, 100011, Uzbekistan</w:t>
      </w:r>
    </w:p>
    <w:p>
      <w:pPr>
        <w:pStyle w:val="BodyText"/>
      </w:pPr>
      <w:r>
        <w:t xml:space="preserve">Attn: Mr. Rustam Karimov, Chief Financial Officer</w:t>
      </w:r>
    </w:p>
    <w:p>
      <w:pPr>
        <w:pStyle w:val="BodyText"/>
      </w:pPr>
      <w:r>
        <w:t xml:space="preserve">VAT ID: 200987654 | Reg. No. 100011-3342</w:t>
      </w:r>
    </w:p>
    <w:bookmarkEnd w:id="22"/>
    <w:bookmarkStart w:id="23" w:name="service-period"/>
    <w:p>
      <w:pPr>
        <w:pStyle w:val="Heading3"/>
      </w:pPr>
      <w:r>
        <w:t xml:space="preserve">Service Period</w:t>
      </w:r>
    </w:p>
    <w:p>
      <w:pPr>
        <w:pStyle w:val="FirstParagraph"/>
      </w:pPr>
      <w:r>
        <w:t xml:space="preserve">01 March 2025 – 31 May 2025</w:t>
      </w:r>
    </w:p>
    <w:p>
      <w:pPr>
        <w:pStyle w:val="BodyText"/>
      </w:pPr>
      <w:r>
        <w:t xml:space="preserve">Engagement Reference: AUD-TKT-2025-Q1</w:t>
      </w:r>
    </w:p>
    <w:p>
      <w:pPr>
        <w:pStyle w:val="BodyText"/>
      </w:pPr>
      <w:r>
        <w:t xml:space="preserve">Project Lead: Senior Auditor Dilnoza Yusupova</w:t>
      </w:r>
    </w:p>
    <w:p>
      <w:pPr>
        <w:pStyle w:val="BodyText"/>
      </w:pPr>
      <w:r>
        <w:t xml:space="preserve">License No: UZ-AUD-2019-0045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Auditor Services</w:t>
            </w:r>
          </w:p>
        </w:tc>
        <w:tc>
          <w:tcPr/>
          <w:p>
            <w:pPr>
              <w:pStyle w:val="Compact"/>
              <w:jc w:val="left"/>
            </w:pPr>
            <w:r>
              <w:t xml:space="preserve">Quantity</w:t>
            </w:r>
          </w:p>
        </w:tc>
        <w:tc>
          <w:tcPr/>
          <w:p>
            <w:pPr>
              <w:pStyle w:val="Compact"/>
              <w:jc w:val="left"/>
            </w:pPr>
            <w:r>
              <w:t xml:space="preserve">Rate (UZS)</w:t>
            </w:r>
          </w:p>
        </w:tc>
        <w:tc>
          <w:tcPr/>
          <w:p>
            <w:pPr>
              <w:pStyle w:val="Compact"/>
              <w:jc w:val="left"/>
            </w:pPr>
            <w:r>
              <w:t xml:space="preserve">Amount (UZS)</w:t>
            </w:r>
          </w:p>
        </w:tc>
        <w:tc>
          <w:tcPr/>
          <w:p>
            <w:pPr>
              <w:pStyle w:val="Compact"/>
              <w:jc w:val="left"/>
            </w:pPr>
            <w:r>
              <w:t xml:space="preserve">VAT 12%</w:t>
            </w:r>
          </w:p>
        </w:tc>
      </w:tr>
      <w:tr>
        <w:tc>
          <w:tcPr/>
          <w:p>
            <w:pPr>
              <w:pStyle w:val="Compact"/>
              <w:jc w:val="left"/>
            </w:pPr>
            <w:r>
              <w:t xml:space="preserve">1</w:t>
            </w:r>
          </w:p>
        </w:tc>
        <w:tc>
          <w:tcPr/>
          <w:p>
            <w:pPr>
              <w:pStyle w:val="Compact"/>
              <w:jc w:val="left"/>
            </w:pPr>
            <w:r>
              <w:t xml:space="preserve">Full-scope financial statement audit for Q1 2025 in compliance with IFRS and the Accounting Law of the Republic of Uzbekistan. Includes verification of revenue recognition, asset valuation, and liability reporting for all operating divisions in Tashkent.</w:t>
            </w:r>
          </w:p>
        </w:tc>
        <w:tc>
          <w:tcPr/>
          <w:p>
            <w:pPr>
              <w:pStyle w:val="Compact"/>
              <w:jc w:val="left"/>
            </w:pPr>
            <w:r>
              <w:t xml:space="preserve">120 hours</w:t>
            </w:r>
          </w:p>
        </w:tc>
        <w:tc>
          <w:tcPr/>
          <w:p>
            <w:pPr>
              <w:pStyle w:val="Compact"/>
              <w:jc w:val="left"/>
            </w:pPr>
            <w:r>
              <w:t xml:space="preserve">450,000</w:t>
            </w:r>
          </w:p>
        </w:tc>
        <w:tc>
          <w:tcPr/>
          <w:p>
            <w:pPr>
              <w:pStyle w:val="Compact"/>
              <w:jc w:val="left"/>
            </w:pPr>
            <w:r>
              <w:t xml:space="preserve">54,000,000</w:t>
            </w:r>
          </w:p>
        </w:tc>
        <w:tc>
          <w:tcPr/>
          <w:p>
            <w:pPr>
              <w:pStyle w:val="Compact"/>
              <w:jc w:val="left"/>
            </w:pPr>
            <w:r>
              <w:t xml:space="preserve">6,480,000</w:t>
            </w:r>
          </w:p>
        </w:tc>
      </w:tr>
      <w:tr>
        <w:tc>
          <w:tcPr/>
          <w:p>
            <w:pPr>
              <w:pStyle w:val="Compact"/>
              <w:jc w:val="left"/>
            </w:pPr>
            <w:r>
              <w:t xml:space="preserve">2</w:t>
            </w:r>
          </w:p>
        </w:tc>
        <w:tc>
          <w:tcPr/>
          <w:p>
            <w:pPr>
              <w:pStyle w:val="Compact"/>
              <w:jc w:val="left"/>
            </w:pPr>
            <w:r>
              <w:t xml:space="preserve">Internal control assessment and risk-based audit of procurement and supply chain operations. The Auditor team conducted fieldwork at the client's three manufacturing facilities located in Tashkent and the surrounding regions of Uzbekistan.</w:t>
            </w:r>
          </w:p>
        </w:tc>
        <w:tc>
          <w:tcPr/>
          <w:p>
            <w:pPr>
              <w:pStyle w:val="Compact"/>
              <w:jc w:val="left"/>
            </w:pPr>
            <w:r>
              <w:t xml:space="preserve">80 hours</w:t>
            </w:r>
          </w:p>
        </w:tc>
        <w:tc>
          <w:tcPr/>
          <w:p>
            <w:pPr>
              <w:pStyle w:val="Compact"/>
              <w:jc w:val="left"/>
            </w:pPr>
            <w:r>
              <w:t xml:space="preserve">420,000</w:t>
            </w:r>
          </w:p>
        </w:tc>
        <w:tc>
          <w:tcPr/>
          <w:p>
            <w:pPr>
              <w:pStyle w:val="Compact"/>
              <w:jc w:val="left"/>
            </w:pPr>
            <w:r>
              <w:t xml:space="preserve">33,600,000</w:t>
            </w:r>
          </w:p>
        </w:tc>
        <w:tc>
          <w:tcPr/>
          <w:p>
            <w:pPr>
              <w:pStyle w:val="Compact"/>
              <w:jc w:val="left"/>
            </w:pPr>
            <w:r>
              <w:t xml:space="preserve">4,032,000</w:t>
            </w:r>
          </w:p>
        </w:tc>
      </w:tr>
      <w:tr>
        <w:tc>
          <w:tcPr/>
          <w:p>
            <w:pPr>
              <w:pStyle w:val="Compact"/>
              <w:jc w:val="left"/>
            </w:pPr>
            <w:r>
              <w:t xml:space="preserve">3</w:t>
            </w:r>
          </w:p>
        </w:tc>
        <w:tc>
          <w:tcPr/>
          <w:p>
            <w:pPr>
              <w:pStyle w:val="Compact"/>
              <w:jc w:val="left"/>
            </w:pPr>
            <w:r>
              <w:t xml:space="preserve">Tax compliance review and VAT reconciliation for the fiscal period. The Auditor verified all tax filings submitted to the State Tax Committee of Uzbekistan and confirmed adherence to the Tax Code of the Republic of Uzbekistan effective 2025.</w:t>
            </w:r>
          </w:p>
        </w:tc>
        <w:tc>
          <w:tcPr/>
          <w:p>
            <w:pPr>
              <w:pStyle w:val="Compact"/>
              <w:jc w:val="left"/>
            </w:pPr>
            <w:r>
              <w:t xml:space="preserve">40 hours</w:t>
            </w:r>
          </w:p>
        </w:tc>
        <w:tc>
          <w:tcPr/>
          <w:p>
            <w:pPr>
              <w:pStyle w:val="Compact"/>
              <w:jc w:val="left"/>
            </w:pPr>
            <w:r>
              <w:t xml:space="preserve">400,000</w:t>
            </w:r>
          </w:p>
        </w:tc>
        <w:tc>
          <w:tcPr/>
          <w:p>
            <w:pPr>
              <w:pStyle w:val="Compact"/>
              <w:jc w:val="left"/>
            </w:pPr>
            <w:r>
              <w:t xml:space="preserve">16,000,000</w:t>
            </w:r>
          </w:p>
        </w:tc>
        <w:tc>
          <w:tcPr/>
          <w:p>
            <w:pPr>
              <w:pStyle w:val="Compact"/>
              <w:jc w:val="left"/>
            </w:pPr>
            <w:r>
              <w:t xml:space="preserve">1,920,000</w:t>
            </w:r>
          </w:p>
        </w:tc>
      </w:tr>
      <w:tr>
        <w:tc>
          <w:tcPr/>
          <w:p>
            <w:pPr>
              <w:pStyle w:val="Compact"/>
              <w:jc w:val="left"/>
            </w:pPr>
            <w:r>
              <w:t xml:space="preserve">4</w:t>
            </w:r>
          </w:p>
        </w:tc>
        <w:tc>
          <w:tcPr/>
          <w:p>
            <w:pPr>
              <w:pStyle w:val="Compact"/>
              <w:jc w:val="left"/>
            </w:pPr>
            <w:r>
              <w:t xml:space="preserve">Preparation and issuance of the independent Auditor's report, management letter, and detailed findings memorandum. Includes recommendations for strengthening internal governance frameworks in accordance with the standards of the Audit Chamber of Uzbekistan.</w:t>
            </w:r>
          </w:p>
        </w:tc>
        <w:tc>
          <w:tcPr/>
          <w:p>
            <w:pPr>
              <w:pStyle w:val="Compact"/>
              <w:jc w:val="left"/>
            </w:pPr>
            <w:r>
              <w:t xml:space="preserve">1 (report)</w:t>
            </w:r>
          </w:p>
        </w:tc>
        <w:tc>
          <w:tcPr/>
          <w:p>
            <w:pPr>
              <w:pStyle w:val="Compact"/>
              <w:jc w:val="left"/>
            </w:pPr>
            <w:r>
              <w:t xml:space="preserve">8,500,000</w:t>
            </w:r>
          </w:p>
        </w:tc>
        <w:tc>
          <w:tcPr/>
          <w:p>
            <w:pPr>
              <w:pStyle w:val="Compact"/>
              <w:jc w:val="left"/>
            </w:pPr>
            <w:r>
              <w:t xml:space="preserve">8,500,000</w:t>
            </w:r>
          </w:p>
        </w:tc>
        <w:tc>
          <w:tcPr/>
          <w:p>
            <w:pPr>
              <w:pStyle w:val="Compact"/>
              <w:jc w:val="left"/>
            </w:pPr>
            <w:r>
              <w:t xml:space="preserve">1,020,000</w:t>
            </w:r>
          </w:p>
        </w:tc>
      </w:tr>
      <w:tr>
        <w:tc>
          <w:tcPr/>
          <w:p>
            <w:pPr>
              <w:pStyle w:val="Compact"/>
              <w:jc w:val="left"/>
            </w:pPr>
            <w:r>
              <w:t xml:space="preserve">5</w:t>
            </w:r>
          </w:p>
        </w:tc>
        <w:tc>
          <w:tcPr/>
          <w:p>
            <w:pPr>
              <w:pStyle w:val="Compact"/>
              <w:jc w:val="left"/>
            </w:pPr>
            <w:r>
              <w:t xml:space="preserve">On-site consultation and training session for the client's accounting department in Tashkent. The Auditor provided guidance on new IFRS 17 implementation requirements and updated reporting obligations mandated by the Ministry of Finance of Uzbekistan.</w:t>
            </w:r>
          </w:p>
        </w:tc>
        <w:tc>
          <w:tcPr/>
          <w:p>
            <w:pPr>
              <w:pStyle w:val="Compact"/>
              <w:jc w:val="left"/>
            </w:pPr>
            <w:r>
              <w:t xml:space="preserve">2 days</w:t>
            </w:r>
          </w:p>
        </w:tc>
        <w:tc>
          <w:tcPr/>
          <w:p>
            <w:pPr>
              <w:pStyle w:val="Compact"/>
              <w:jc w:val="left"/>
            </w:pPr>
            <w:r>
              <w:t xml:space="preserve">3,200,000</w:t>
            </w:r>
          </w:p>
        </w:tc>
        <w:tc>
          <w:tcPr/>
          <w:p>
            <w:pPr>
              <w:pStyle w:val="Compact"/>
              <w:jc w:val="left"/>
            </w:pPr>
            <w:r>
              <w:t xml:space="preserve">6,400,000</w:t>
            </w:r>
          </w:p>
        </w:tc>
        <w:tc>
          <w:tcPr/>
          <w:p>
            <w:pPr>
              <w:pStyle w:val="Compact"/>
              <w:jc w:val="left"/>
            </w:pPr>
            <w:r>
              <w:t xml:space="preserve">768,000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(UZS)</w:t>
            </w:r>
          </w:p>
        </w:tc>
        <w:tc>
          <w:tcPr/>
          <w:p>
            <w:pPr>
              <w:pStyle w:val="Compact"/>
              <w:jc w:val="right"/>
            </w:pPr>
            <w:r>
              <w:rPr>
                <w:bCs/>
                <w:b/>
              </w:rPr>
              <w:t xml:space="preserve">118,500,000</w:t>
            </w:r>
          </w:p>
        </w:tc>
      </w:tr>
      <w:tr>
        <w:tc>
          <w:tcPr/>
          <w:p>
            <w:pPr>
              <w:pStyle w:val="Compact"/>
              <w:jc w:val="left"/>
            </w:pPr>
            <w:r>
              <w:t xml:space="preserve">VAT @ 12% (UZS)</w:t>
            </w:r>
          </w:p>
        </w:tc>
        <w:tc>
          <w:tcPr/>
          <w:p>
            <w:pPr>
              <w:pStyle w:val="Compact"/>
              <w:jc w:val="right"/>
            </w:pPr>
            <w:r>
              <w:rPr>
                <w:bCs/>
                <w:b/>
              </w:rPr>
              <w:t xml:space="preserve">14,220,000</w:t>
            </w:r>
          </w:p>
        </w:tc>
      </w:tr>
      <w:tr>
        <w:tc>
          <w:tcPr/>
          <w:p>
            <w:pPr>
              <w:pStyle w:val="Compact"/>
              <w:jc w:val="left"/>
            </w:pPr>
            <w:r>
              <w:t xml:space="preserve">Discount – Long-term Client (5%)</w:t>
            </w:r>
          </w:p>
        </w:tc>
        <w:tc>
          <w:tcPr/>
          <w:p>
            <w:pPr>
              <w:pStyle w:val="Compact"/>
              <w:jc w:val="right"/>
            </w:pPr>
            <w:r>
              <w:rPr>
                <w:bCs/>
                <w:b/>
              </w:rPr>
              <w:t xml:space="preserve">(5,925,000)</w:t>
            </w:r>
          </w:p>
        </w:tc>
      </w:tr>
      <w:tr>
        <w:tc>
          <w:tcPr/>
          <w:p>
            <w:pPr>
              <w:pStyle w:val="Compact"/>
              <w:jc w:val="left"/>
            </w:pPr>
            <w:r>
              <w:t xml:space="preserve">GRAND TOTAL DUE (UZS)</w:t>
            </w:r>
          </w:p>
        </w:tc>
        <w:tc>
          <w:tcPr/>
          <w:p>
            <w:pPr>
              <w:pStyle w:val="Compact"/>
              <w:jc w:val="right"/>
            </w:pPr>
            <w:r>
              <w:t xml:space="preserve">126,795,000</w:t>
            </w:r>
          </w:p>
        </w:tc>
      </w:tr>
    </w:tbl>
    <w:bookmarkStart w:id="24" w:name="payment-terms-instructions"/>
    <w:p>
      <w:pPr>
        <w:pStyle w:val="Heading3"/>
      </w:pPr>
      <w:r>
        <w:t xml:space="preserve">Payment Terms &amp; Instructions</w:t>
      </w:r>
    </w:p>
    <w:p>
      <w:pPr>
        <w:pStyle w:val="FirstParagraph"/>
      </w:pPr>
      <w:r>
        <w:t xml:space="preserve">This Invoice must be settled in full within fifteen (15) calendar days from the date of issue, no later than 30 June 2025. Payment shall be made in Uzbek Som (UZS) via bank transfer to the account of Tashkent Audit &amp; Compliance LLP.</w:t>
      </w:r>
    </w:p>
    <w:p>
      <w:pPr>
        <w:pStyle w:val="BodyText"/>
      </w:pPr>
      <w:r>
        <w:rPr>
          <w:bCs/>
          <w:b/>
        </w:rPr>
        <w:t xml:space="preserve">Bank:</w:t>
      </w:r>
      <w:r>
        <w:t xml:space="preserve"> </w:t>
      </w:r>
      <w:r>
        <w:t xml:space="preserve">Asaka Bank JSC, Tashkent Main Branch</w:t>
      </w:r>
    </w:p>
    <w:p>
      <w:pPr>
        <w:pStyle w:val="BodyText"/>
      </w:pPr>
      <w:r>
        <w:rPr>
          <w:bCs/>
          <w:b/>
        </w:rPr>
        <w:t xml:space="preserve">Account No.:</w:t>
      </w:r>
      <w:r>
        <w:t xml:space="preserve"> </w:t>
      </w:r>
      <w:r>
        <w:t xml:space="preserve">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Auditor Services - Uzbekistan Tashkent</dc:title>
  <dc:creator/>
  <dc:language>en</dc:language>
  <cp:keywords/>
  <dcterms:created xsi:type="dcterms:W3CDTF">2026-10-10T03:42:34Z</dcterms:created>
  <dcterms:modified xsi:type="dcterms:W3CDTF">2026-10-10T03:42:34Z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