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caracas-audit-compliance-group-c.a."/>
    <w:p>
      <w:pPr>
        <w:pStyle w:val="Heading1"/>
      </w:pPr>
      <w:r>
        <w:t xml:space="preserve">Caracas Audit &amp; Compliance Group, C.A.</w:t>
      </w:r>
    </w:p>
    <w:p>
      <w:pPr>
        <w:pStyle w:val="FirstParagraph"/>
      </w:pPr>
      <w:r>
        <w:t xml:space="preserve">Av. Francisco de Miranda, Torre Empresarial, Piso 14</w:t>
      </w:r>
    </w:p>
    <w:p>
      <w:pPr>
        <w:pStyle w:val="BodyText"/>
      </w:pPr>
      <w:r>
        <w:t xml:space="preserve">Chacao, Venezuela Caracas, 1060</w:t>
      </w:r>
    </w:p>
    <w:p>
      <w:pPr>
        <w:pStyle w:val="BodyText"/>
      </w:pPr>
      <w:r>
        <w:t xml:space="preserve">RIF: J-40125876-3</w:t>
      </w:r>
    </w:p>
    <w:p>
      <w:pPr>
        <w:pStyle w:val="BodyText"/>
      </w:pPr>
      <w:r>
        <w:t xml:space="preserve">Phone: +58 (212) 555-0147 | Email: billing@caracasaudit.com.ve</w:t>
      </w:r>
    </w:p>
    <w:p>
      <w:pPr>
        <w:pStyle w:val="BodyText"/>
      </w:pPr>
      <w:r>
        <w:t xml:space="preserve">Certified Auditor Firm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April 1 – June 14, 2025</w:t>
      </w:r>
    </w:p>
    <w:p>
      <w:pPr>
        <w:pStyle w:val="BodyText"/>
      </w:pPr>
      <w:r>
        <w:rPr>
          <w:bCs/>
          <w:b/>
        </w:rPr>
        <w:t xml:space="preserve">Location:</w:t>
      </w:r>
      <w:r>
        <w:t xml:space="preserve"> </w:t>
      </w:r>
      <w:r>
        <w:t xml:space="preserve">Venezuela Caracas</w:t>
      </w:r>
    </w:p>
    <w:bookmarkEnd w:id="21"/>
    <w:bookmarkStart w:id="22" w:name="bill-to-client"/>
    <w:p>
      <w:pPr>
        <w:pStyle w:val="Heading3"/>
      </w:pPr>
      <w:r>
        <w:t xml:space="preserve">Bill To (Client)</w:t>
      </w:r>
    </w:p>
    <w:p>
      <w:pPr>
        <w:pStyle w:val="FirstParagraph"/>
      </w:pPr>
      <w:r>
        <w:rPr>
          <w:bCs/>
          <w:b/>
        </w:rPr>
        <w:t xml:space="preserve">Empresa Industrial del Este, C.A.</w:t>
      </w:r>
    </w:p>
    <w:p>
      <w:pPr>
        <w:pStyle w:val="BodyText"/>
      </w:pPr>
      <w:r>
        <w:t xml:space="preserve">Attn: Lic. María Fernanda Rodríguez</w:t>
      </w:r>
    </w:p>
    <w:p>
      <w:pPr>
        <w:pStyle w:val="BodyText"/>
      </w:pPr>
      <w:r>
        <w:t xml:space="preserve">Av. Panteón, Edificio Corporativo, Piso 8</w:t>
      </w:r>
    </w:p>
    <w:p>
      <w:pPr>
        <w:pStyle w:val="BodyText"/>
      </w:pPr>
      <w:r>
        <w:t xml:space="preserve">Los Palos Grandes, Venezuela Caracas, 1080</w:t>
      </w:r>
    </w:p>
    <w:p>
      <w:pPr>
        <w:pStyle w:val="BodyText"/>
      </w:pPr>
      <w:r>
        <w:t xml:space="preserve">RIF: J-29874561-9</w:t>
      </w:r>
    </w:p>
    <w:p>
      <w:pPr>
        <w:pStyle w:val="BodyText"/>
      </w:pPr>
      <w:r>
        <w:t xml:space="preserve">Tel: +58 (212) 774-3321</w:t>
      </w:r>
    </w:p>
    <w:bookmarkEnd w:id="22"/>
    <w:bookmarkStart w:id="23" w:name="prepared-by-auditor"/>
    <w:p>
      <w:pPr>
        <w:pStyle w:val="Heading3"/>
      </w:pPr>
      <w:r>
        <w:t xml:space="preserve">Prepared By (Auditor)</w:t>
      </w:r>
    </w:p>
    <w:p>
      <w:pPr>
        <w:pStyle w:val="FirstParagraph"/>
      </w:pPr>
      <w:r>
        <w:rPr>
          <w:bCs/>
          <w:b/>
        </w:rPr>
        <w:t xml:space="preserve">Auditor: Ing. Carlos Alberto Mendoza</w:t>
      </w:r>
    </w:p>
    <w:p>
      <w:pPr>
        <w:pStyle w:val="BodyText"/>
      </w:pPr>
      <w:r>
        <w:t xml:space="preserve">Senior Auditor – Financial &amp; Operational Division</w:t>
      </w:r>
    </w:p>
    <w:p>
      <w:pPr>
        <w:pStyle w:val="BodyText"/>
      </w:pPr>
      <w:r>
        <w:t xml:space="preserve">Professional License No.: CPV-2019-04472</w:t>
      </w:r>
    </w:p>
    <w:p>
      <w:pPr>
        <w:pStyle w:val="BodyText"/>
      </w:pPr>
      <w:r>
        <w:t xml:space="preserve">Caracas Audit &amp; Compliance Group, C.A.</w:t>
      </w:r>
    </w:p>
    <w:p>
      <w:pPr>
        <w:pStyle w:val="BodyText"/>
      </w:pPr>
      <w:r>
        <w:t xml:space="preserve">Venezuela Caracas, 1060</w:t>
      </w:r>
    </w:p>
    <w:p>
      <w:pPr>
        <w:pStyle w:val="BodyText"/>
      </w:pPr>
      <w:r>
        <w:t xml:space="preserve">Email: c.mendoza@caracasaudit.com.ve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Comprehensive Financial Audit</w:t>
            </w:r>
            <w:r>
              <w:t xml:space="preserve"> </w:t>
            </w:r>
            <w:r>
              <w:t xml:space="preserve">– The Auditor conducted a full-scope financial audit of the client's general ledger, balance sheet, income statement, and cash flow statements for fiscal year 2024. This engagement was performed in accordance with Venezuelan Generally Accepted Accounting Principles (PCGA) and International Standards on Auditing (ISA) as adopted in Venezuela Caracas.</w:t>
            </w:r>
          </w:p>
        </w:tc>
        <w:tc>
          <w:tcPr/>
          <w:p>
            <w:pPr>
              <w:pStyle w:val="Compact"/>
              <w:jc w:val="left"/>
            </w:pPr>
            <w:r>
              <w:t xml:space="preserve">Apr 1 – Apr 22, 2025</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2</w:t>
            </w:r>
          </w:p>
        </w:tc>
        <w:tc>
          <w:tcPr/>
          <w:p>
            <w:pPr>
              <w:pStyle w:val="Compact"/>
              <w:jc w:val="left"/>
            </w:pPr>
            <w:r>
              <w:rPr>
                <w:bCs/>
                <w:b/>
              </w:rPr>
              <w:t xml:space="preserve">Operational Audit &amp; Internal Controls Review</w:t>
            </w:r>
            <w:r>
              <w:t xml:space="preserve"> </w:t>
            </w:r>
            <w:r>
              <w:t xml:space="preserve">– The Auditor evaluated the effectiveness of internal control systems across all operational departments. This included testing of segregation of duties, authorization protocols, and risk management frameworks. Findings were documented in a formal Auditor's report submitted to the Board of Directors in Venezuela Caracas.</w:t>
            </w:r>
          </w:p>
        </w:tc>
        <w:tc>
          <w:tcPr/>
          <w:p>
            <w:pPr>
              <w:pStyle w:val="Compact"/>
              <w:jc w:val="left"/>
            </w:pPr>
            <w:r>
              <w:t xml:space="preserve">Apr 25 – May 10, 2025</w:t>
            </w:r>
          </w:p>
        </w:tc>
        <w:tc>
          <w:tcPr/>
          <w:p>
            <w:pPr>
              <w:pStyle w:val="Compact"/>
              <w:jc w:val="left"/>
            </w:pPr>
            <w:r>
              <w:t xml:space="preserve">80</w:t>
            </w:r>
          </w:p>
        </w:tc>
        <w:tc>
          <w:tcPr/>
          <w:p>
            <w:pPr>
              <w:pStyle w:val="Compact"/>
              <w:jc w:val="left"/>
            </w:pPr>
            <w:r>
              <w:t xml:space="preserve">$85.00</w:t>
            </w:r>
          </w:p>
        </w:tc>
        <w:tc>
          <w:tcPr/>
          <w:p>
            <w:pPr>
              <w:pStyle w:val="Compact"/>
              <w:jc w:val="left"/>
            </w:pPr>
            <w:r>
              <w:t xml:space="preserve">$6,800.00</w:t>
            </w:r>
          </w:p>
        </w:tc>
      </w:tr>
      <w:tr>
        <w:tc>
          <w:tcPr/>
          <w:p>
            <w:pPr>
              <w:pStyle w:val="Compact"/>
              <w:jc w:val="left"/>
            </w:pPr>
            <w:r>
              <w:t xml:space="preserve">3</w:t>
            </w:r>
          </w:p>
        </w:tc>
        <w:tc>
          <w:tcPr/>
          <w:p>
            <w:pPr>
              <w:pStyle w:val="Compact"/>
              <w:jc w:val="left"/>
            </w:pPr>
            <w:r>
              <w:rPr>
                <w:bCs/>
                <w:b/>
              </w:rPr>
              <w:t xml:space="preserve">Tax Compliance Audit (SENIAT)</w:t>
            </w:r>
            <w:r>
              <w:t xml:space="preserve"> </w:t>
            </w:r>
            <w:r>
              <w:t xml:space="preserve">– The Auditor performed a detailed review of all tax filings, withholding obligations, and VAT (IVA) declarations submitted to the Servicio Nacional Integrado de Administración Aduanera y Tributaria (SENIAT). The Auditor verified compliance with the Ley de Impuesto sobre la Renta and identified three areas requiring corrective action before the next filing period.</w:t>
            </w:r>
          </w:p>
        </w:tc>
        <w:tc>
          <w:tcPr/>
          <w:p>
            <w:pPr>
              <w:pStyle w:val="Compact"/>
              <w:jc w:val="left"/>
            </w:pPr>
            <w:r>
              <w:t xml:space="preserve">May 12 – May 24, 2025</w:t>
            </w:r>
          </w:p>
        </w:tc>
        <w:tc>
          <w:tcPr/>
          <w:p>
            <w:pPr>
              <w:pStyle w:val="Compact"/>
              <w:jc w:val="left"/>
            </w:pPr>
            <w:r>
              <w:t xml:space="preserve">60</w:t>
            </w:r>
          </w:p>
        </w:tc>
        <w:tc>
          <w:tcPr/>
          <w:p>
            <w:pPr>
              <w:pStyle w:val="Compact"/>
              <w:jc w:val="left"/>
            </w:pPr>
            <w:r>
              <w:t xml:space="preserve">$90.00</w:t>
            </w:r>
          </w:p>
        </w:tc>
        <w:tc>
          <w:tcPr/>
          <w:p>
            <w:pPr>
              <w:pStyle w:val="Compact"/>
              <w:jc w:val="left"/>
            </w:pPr>
            <w:r>
              <w:t xml:space="preserve">$5,400.00</w:t>
            </w:r>
          </w:p>
        </w:tc>
      </w:tr>
      <w:tr>
        <w:tc>
          <w:tcPr/>
          <w:p>
            <w:pPr>
              <w:pStyle w:val="Compact"/>
              <w:jc w:val="left"/>
            </w:pPr>
            <w:r>
              <w:t xml:space="preserve">4</w:t>
            </w:r>
          </w:p>
        </w:tc>
        <w:tc>
          <w:tcPr/>
          <w:p>
            <w:pPr>
              <w:pStyle w:val="Compact"/>
              <w:jc w:val="left"/>
            </w:pPr>
            <w:r>
              <w:rPr>
                <w:bCs/>
                <w:b/>
              </w:rPr>
              <w:t xml:space="preserve">IT Systems &amp; Data Integrity Audit</w:t>
            </w:r>
            <w:r>
              <w:t xml:space="preserve"> </w:t>
            </w:r>
            <w:r>
              <w:t xml:space="preserve">– The Auditor assessed the integrity of the client's ERP system, database access controls, and digital record-keeping procedures. This engagement ensured that all electronic financial records maintained in Venezuela Caracas met the evidentiary standards required by the Contraloría General de la República.</w:t>
            </w:r>
          </w:p>
        </w:tc>
        <w:tc>
          <w:tcPr/>
          <w:p>
            <w:pPr>
              <w:pStyle w:val="Compact"/>
              <w:jc w:val="left"/>
            </w:pPr>
            <w:r>
              <w:t xml:space="preserve">May 27 – Jun 6, 2025</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5</w:t>
            </w:r>
          </w:p>
        </w:tc>
        <w:tc>
          <w:tcPr/>
          <w:p>
            <w:pPr>
              <w:pStyle w:val="Compact"/>
              <w:jc w:val="left"/>
            </w:pPr>
            <w:r>
              <w:rPr>
                <w:bCs/>
                <w:b/>
              </w:rPr>
              <w:t xml:space="preserve">Final Auditor's Report &amp; Management Letter</w:t>
            </w:r>
            <w:r>
              <w:t xml:space="preserve"> </w:t>
            </w:r>
            <w:r>
              <w:t xml:space="preserve">– The Auditor compiled all findings, opinions, and recommendations into a comprehensive final report. This document includes the Auditor's unqualified opinion on the financial statements, a detailed management letter with corrective action recommendations, and a summary of material weaknesses identified during the audit period in Venezuela Caracas.</w:t>
            </w:r>
          </w:p>
        </w:tc>
        <w:tc>
          <w:tcPr/>
          <w:p>
            <w:pPr>
              <w:pStyle w:val="Compact"/>
              <w:jc w:val="left"/>
            </w:pPr>
            <w:r>
              <w:t xml:space="preserve">Jun 9 – Jun 14, 2025</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$30,000.00</w:t>
            </w:r>
          </w:p>
        </w:tc>
      </w:tr>
      <w:tr>
        <w:tc>
          <w:tcPr/>
          <w:p>
            <w:pPr>
              <w:pStyle w:val="Compact"/>
              <w:jc w:val="left"/>
            </w:pPr>
            <w:r>
              <w:t xml:space="preserve">Professional Services Surcharge (5%)</w:t>
            </w:r>
          </w:p>
        </w:tc>
        <w:tc>
          <w:tcPr/>
          <w:p>
            <w:pPr>
              <w:pStyle w:val="Compact"/>
              <w:jc w:val="right"/>
            </w:pPr>
            <w:r>
              <w:t xml:space="preserve">$1,500.00</w:t>
            </w:r>
          </w:p>
        </w:tc>
      </w:tr>
      <w:tr>
        <w:tc>
          <w:tcPr/>
          <w:p>
            <w:pPr>
              <w:pStyle w:val="Compact"/>
              <w:jc w:val="left"/>
            </w:pPr>
            <w:r>
              <w:t xml:space="preserve">Travel &amp; Local Transportation within Venezuela Caracas</w:t>
            </w:r>
          </w:p>
        </w:tc>
        <w:tc>
          <w:tcPr/>
          <w:p>
            <w:pPr>
              <w:pStyle w:val="Compact"/>
              <w:jc w:val="right"/>
            </w:pPr>
            <w:r>
              <w:t xml:space="preserve">$450.00</w:t>
            </w:r>
          </w:p>
        </w:tc>
      </w:tr>
      <w:tr>
        <w:tc>
          <w:tcPr/>
          <w:p>
            <w:pPr>
              <w:pStyle w:val="Compact"/>
              <w:jc w:val="left"/>
            </w:pPr>
            <w:r>
              <w:t xml:space="preserve">Document Reproduction &amp; Filing Fees</w:t>
            </w:r>
          </w:p>
        </w:tc>
        <w:tc>
          <w:tcPr/>
          <w:p>
            <w:pPr>
              <w:pStyle w:val="Compact"/>
              <w:jc w:val="right"/>
            </w:pPr>
            <w:r>
              <w:t xml:space="preserve">$180.00</w:t>
            </w:r>
          </w:p>
        </w:tc>
      </w:tr>
      <w:tr>
        <w:tc>
          <w:tcPr/>
          <w:p>
            <w:pPr>
              <w:pStyle w:val="Compact"/>
              <w:jc w:val="left"/>
            </w:pPr>
            <w:r>
              <w:t xml:space="preserve">TOTAL INVOICE AMOUNT</w:t>
            </w:r>
          </w:p>
        </w:tc>
        <w:tc>
          <w:tcPr/>
          <w:p>
            <w:pPr>
              <w:pStyle w:val="Compact"/>
              <w:jc w:val="right"/>
            </w:pPr>
            <w:r>
              <w:t xml:space="preserve">$32,130.00</w:t>
            </w:r>
          </w:p>
        </w:tc>
      </w:tr>
    </w:tbl>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30 calendar days from the date of this Invoice (i.e., no later than July 15, 2025).</w:t>
      </w:r>
    </w:p>
    <w:p>
      <w:pPr>
        <w:pStyle w:val="BodyText"/>
      </w:pPr>
      <w:r>
        <w:rPr>
          <w:bCs/>
          <w:b/>
        </w:rPr>
        <w:t xml:space="preserve">Payment Method:</w:t>
      </w:r>
      <w:r>
        <w:t xml:space="preserve"> </w:t>
      </w:r>
      <w:r>
        <w:t xml:space="preserve">Wire transfer to the following account held in Venezuela Caracas:</w:t>
      </w:r>
    </w:p>
    <w:p>
      <w:pPr>
        <w:pStyle w:val="BodyText"/>
      </w:pPr>
      <w:r>
        <w:rPr>
          <w:bCs/>
          <w:b/>
        </w:rPr>
        <w:t xml:space="preserve">Bank:</w:t>
      </w:r>
      <w:r>
        <w:t xml:space="preserve"> </w:t>
      </w:r>
      <w:r>
        <w:t xml:space="preserve">Banco Mercantil, C.A. |</w:t>
      </w:r>
      <w:r>
        <w:t xml:space="preserve"> </w:t>
      </w:r>
      <w:r>
        <w:rPr>
          <w:bCs/>
          <w:b/>
        </w:rPr>
        <w:t xml:space="preserve">Branch:</w:t>
      </w:r>
      <w:r>
        <w:t xml:space="preserve"> </w:t>
      </w:r>
      <w:r>
        <w:t xml:space="preserve">Chacao, Venezuela Caracas</w:t>
      </w:r>
    </w:p>
    <w:p>
      <w:pPr>
        <w:pStyle w:val="BodyText"/>
      </w:pPr>
      <w:r>
        <w:rPr>
          <w:bCs/>
          <w:b/>
        </w:rPr>
        <w:t xml:space="preserve">Account Name:</w:t>
      </w:r>
      <w:r>
        <w:t xml:space="preserve"> </w:t>
      </w:r>
      <w:r>
        <w:t xml:space="preserve">Caracas Audit &amp; Compliance Group, C.A.</w:t>
      </w:r>
    </w:p>
    <w:p>
      <w:pPr>
        <w:pStyle w:val="BodyText"/>
      </w:pPr>
      <w:r>
        <w:rPr>
          <w:bCs/>
          <w:b/>
        </w:rPr>
        <w:t xml:space="preserve">Account No.:</w:t>
      </w:r>
      <w:r>
        <w:t xml:space="preserve"> </w:t>
      </w:r>
      <w:r>
        <w:t xml:space="preserve">0105-0456-78-0012345678</w:t>
      </w:r>
    </w:p>
    <w:p>
      <w:pPr>
        <w:pStyle w:val="BodyText"/>
      </w:pPr>
      <w:r>
        <w:rPr>
          <w:bCs/>
          <w:b/>
        </w:rPr>
        <w:t xml:space="preserve">IBAN:</w:t>
      </w:r>
      <w:r>
        <w:t xml:space="preserve"> </w:t>
      </w:r>
      <w:r>
        <w:t xml:space="preserve">VE010105000456780012345678</w:t>
      </w:r>
    </w:p>
    <w:p>
      <w:pPr>
        <w:pStyle w:val="BodyText"/>
      </w:pPr>
      <w:r>
        <w:rPr>
          <w:bCs/>
          <w:b/>
        </w:rPr>
        <w:t xml:space="preserve">SWIFT Code:</w:t>
      </w:r>
      <w:r>
        <w:t xml:space="preserve"> </w:t>
      </w:r>
      <w:r>
        <w:t xml:space="preserve">BCMCVESV</w:t>
      </w:r>
    </w:p>
    <w:p>
      <w:pPr>
        <w:pStyle w:val="BodyText"/>
      </w:pPr>
      <w:r>
        <w:rPr>
          <w:bCs/>
          <w:b/>
        </w:rPr>
        <w:t xml:space="preserve">Reference:</w:t>
      </w:r>
      <w:r>
        <w:t xml:space="preserve"> </w:t>
      </w:r>
      <w:r>
        <w:t xml:space="preserve">Please cite Invoice No. INV-2025-04872 in all payment communications.</w:t>
      </w:r>
    </w:p>
    <w:p>
      <w:pPr>
        <w:pStyle w:val="BodyText"/>
      </w:pPr>
      <w:r>
        <w:rPr>
          <w:bCs/>
          <w:b/>
        </w:rPr>
        <w:t xml:space="preserve">Late Payment:</w:t>
      </w:r>
      <w:r>
        <w:t xml:space="preserve"> </w:t>
      </w:r>
      <w:r>
        <w:t xml:space="preserve">A penalty of 1.5% per month will be applied to any outstanding balance past the due date, in accordance with Venezuelan commercial law.</w:t>
      </w:r>
    </w:p>
    <w:bookmarkEnd w:id="24"/>
    <w:bookmarkStart w:id="25" w:name="important-notes-regarding-this-invoice"/>
    <w:p>
      <w:pPr>
        <w:pStyle w:val="Heading3"/>
      </w:pPr>
      <w:r>
        <w:t xml:space="preserve">Important Notes Regarding This Invoice</w:t>
      </w:r>
    </w:p>
    <w:p>
      <w:pPr>
        <w:pStyle w:val="FirstParagraph"/>
      </w:pPr>
      <w:r>
        <w:t xml:space="preserve">1. This Invoice represents the complete and final billing for all Auditor services rendered during the period of April 1 through June 14, 2025. No additional charges will be incurred for the scope of work described herein.</w:t>
      </w:r>
    </w:p>
    <w:p>
      <w:pPr>
        <w:pStyle w:val="BodyText"/>
      </w:pPr>
      <w:r>
        <w:t xml:space="preserve">2. The Auditor, Ing. Carlos Alberto Mendoza, declares full independence and objectivity in the performance of all audit procedures. No conflicts of interest exist between the Auditor and the client entity.</w:t>
      </w:r>
    </w:p>
    <w:p>
      <w:pPr>
        <w:pStyle w:val="BodyText"/>
      </w:pPr>
      <w:r>
        <w:t xml:space="preserve">3. All audit documentation, working papers, and the final Auditor's report are the property of Caracas Audit &amp; Compliance Group, C.A., and will be retained for a minimum of ten (10) years in compliance with Venezuelan professional regulations.</w:t>
      </w:r>
    </w:p>
    <w:p>
      <w:pPr>
        <w:pStyle w:val="BodyText"/>
      </w:pPr>
      <w:r>
        <w:t xml:space="preserve">4. This Invoice is issued in the city of Venezuela Caracas and is governed by the laws of the Bolivarian Republic of Venezuela. Any disputes arising from this Invoice shall be resolved in the competent courts of Venezuela Caracas.</w:t>
      </w:r>
    </w:p>
    <w:p>
      <w:pPr>
        <w:pStyle w:val="BodyText"/>
      </w:pPr>
      <w:r>
        <w:t xml:space="preserve">5. The client acknowledges receipt of the final Auditor's report and management letter on June 14, 2025. This Invoice constitutes the formal billing instrument for said engagement.</w:t>
      </w:r>
    </w:p>
    <w:p>
      <w:pPr>
        <w:pStyle w:val="BodyText"/>
      </w:pPr>
      <w:r>
        <w:t xml:space="preserve">6. For questions regarding this Invoice or the Auditor's findings, please contact the billing department at billing@caracasaudit.com.ve or call +58 (212) 555-0147 during business hours (Monday to Friday, 8:00 AM – 5:00 PM, Venezuela Caracas time).</w:t>
      </w:r>
    </w:p>
    <w:bookmarkEnd w:id="25"/>
    <w:p>
      <w:pPr>
        <w:pStyle w:val="BodyText"/>
      </w:pPr>
      <w:r>
        <w:rPr>
          <w:bCs/>
          <w:b/>
        </w:rPr>
        <w:t xml:space="preserve">Caracas Audit &amp; Compliance Group, C.A.</w:t>
      </w:r>
      <w:r>
        <w:t xml:space="preserve"> </w:t>
      </w:r>
      <w:r>
        <w:t xml:space="preserve">– Professional Auditor Firm registered in Venezuela Caracas</w:t>
      </w:r>
    </w:p>
    <w:p>
      <w:pPr>
        <w:pStyle w:val="BodyText"/>
      </w:pPr>
      <w:r>
        <w:t xml:space="preserve">RIF: J-40125876-3 | Professional License: CPV-FIRM-2015-00891</w:t>
      </w:r>
    </w:p>
    <w:p>
      <w:pPr>
        <w:pStyle w:val="BodyText"/>
      </w:pPr>
      <w:r>
        <w:t xml:space="preserve">This Invoice was generated electronically and is valid without a physical signature per Venezuelan electronic document law (Ley de Documentos Electrónicos).</w:t>
      </w:r>
    </w:p>
    <w:p>
      <w:pPr>
        <w:pStyle w:val="BodyText"/>
      </w:pPr>
      <w:r>
        <w:t xml:space="preserve">© 2025 Caracas Audit &amp; Compliance Group, C.A. | Venezuela Caracas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Venezuela Caracas</dc:title>
  <dc:creator/>
  <dc:language>en</dc:language>
  <cp:keywords/>
  <dcterms:created xsi:type="dcterms:W3CDTF">2026-10-10T01:20:45Z</dcterms:created>
  <dcterms:modified xsi:type="dcterms:W3CDTF">2026-10-10T01:20:45Z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