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X5641bb3a292c0b5045b5767bcdf39f05aa4cb20"/>
    <w:p>
      <w:pPr>
        <w:pStyle w:val="Heading1"/>
      </w:pPr>
      <w:r>
        <w:t xml:space="preserve">Advanced Automotive Engineering Solutions</w:t>
      </w:r>
    </w:p>
    <w:p>
      <w:pPr>
        <w:pStyle w:val="FirstParagraph"/>
      </w:pPr>
      <w:r>
        <w:t xml:space="preserve">Al Olaya District, King Fahd Road</w:t>
      </w:r>
      <w:r>
        <w:br/>
      </w:r>
      <w:r>
        <w:t xml:space="preserve">Riyadh, 12211</w:t>
      </w:r>
      <w:r>
        <w:br/>
      </w:r>
      <w:r>
        <w:t xml:space="preserve">Saudi Arabia</w:t>
      </w:r>
      <w:r>
        <w:br/>
      </w:r>
      <w:r>
        <w:t xml:space="preserve">Phone: +966 11 234 5678</w:t>
      </w:r>
      <w:r>
        <w:br/>
      </w:r>
      <w:r>
        <w:t xml:space="preserve">Email: billing@aaes-riyadh.com.sa</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Lead Consultant:</w:t>
      </w:r>
      <w:r>
        <w:t xml:space="preserve"> </w:t>
      </w:r>
      <w:r>
        <w:t xml:space="preserve">Ahmed Al-Fahad, P.Eng.</w:t>
      </w:r>
      <w:r>
        <w:br/>
      </w:r>
      <w:r>
        <w:rPr>
          <w:bCs/>
          <w:b/>
        </w:rPr>
        <w:t xml:space="preserve">Role:</w:t>
      </w:r>
      <w:r>
        <w:t xml:space="preserve"> </w:t>
      </w:r>
      <w:r>
        <w:t xml:space="preserve">Senior Automotive Engineer</w:t>
      </w:r>
      <w:r>
        <w:br/>
      </w:r>
      <w:r>
        <w:rPr>
          <w:bCs/>
          <w:b/>
        </w:rPr>
        <w:t xml:space="preserve">License No:</w:t>
      </w:r>
      <w:r>
        <w:t xml:space="preserve"> </w:t>
      </w:r>
      <w:r>
        <w:t xml:space="preserve">SAU-AE-998877</w:t>
      </w:r>
      <w:r>
        <w:br/>
      </w:r>
      <w:r>
        <w:rPr>
          <w:bCs/>
          <w:b/>
        </w:rPr>
        <w:t xml:space="preserve">VAT Registration:</w:t>
      </w:r>
      <w:r>
        <w:t xml:space="preserve"> </w:t>
      </w:r>
      <w:r>
        <w:t xml:space="preserve">300123456700003</w:t>
      </w:r>
    </w:p>
    <w:bookmarkEnd w:id="22"/>
    <w:bookmarkStart w:id="23" w:name="bill-to"/>
    <w:p>
      <w:pPr>
        <w:pStyle w:val="Heading3"/>
      </w:pPr>
      <w:r>
        <w:t xml:space="preserve">Bill To</w:t>
      </w:r>
    </w:p>
    <w:p>
      <w:pPr>
        <w:pStyle w:val="FirstParagraph"/>
      </w:pPr>
      <w:r>
        <w:rPr>
          <w:bCs/>
          <w:b/>
        </w:rPr>
        <w:t xml:space="preserve">Client:</w:t>
      </w:r>
      <w:r>
        <w:t xml:space="preserve"> </w:t>
      </w:r>
      <w:r>
        <w:t xml:space="preserve">Riyadh Future Mobility Group</w:t>
      </w:r>
      <w:r>
        <w:br/>
      </w:r>
      <w:r>
        <w:rPr>
          <w:bCs/>
          <w:b/>
        </w:rPr>
        <w:t xml:space="preserve">Attn:</w:t>
      </w:r>
      <w:r>
        <w:t xml:space="preserve"> </w:t>
      </w:r>
      <w:r>
        <w:t xml:space="preserve">Procurement Department</w:t>
      </w:r>
      <w:r>
        <w:br/>
      </w:r>
      <w:r>
        <w:rPr>
          <w:bCs/>
          <w:b/>
        </w:rPr>
        <w:t xml:space="preserve">Address:</w:t>
      </w:r>
      <w:r>
        <w:t xml:space="preserve"> </w:t>
      </w:r>
      <w:r>
        <w:t xml:space="preserve">King Abdullah Financial District (KAFD)</w:t>
      </w:r>
      <w:r>
        <w:br/>
      </w:r>
      <w:r>
        <w:rPr>
          <w:bCs/>
          <w:b/>
        </w:rPr>
        <w:t xml:space="preserve">City:</w:t>
      </w:r>
      <w:r>
        <w:t xml:space="preserve"> </w:t>
      </w:r>
      <w:r>
        <w:t xml:space="preserve">Riyadh, Saudi Arabia</w:t>
      </w:r>
      <w:r>
        <w:br/>
      </w:r>
      <w:r>
        <w:rPr>
          <w:bCs/>
          <w:b/>
        </w:rPr>
        <w:t xml:space="preserve">CR Number:</w:t>
      </w:r>
      <w:r>
        <w:t xml:space="preserve"> </w:t>
      </w:r>
      <w:r>
        <w:t xml:space="preserve">1010203040</w:t>
      </w:r>
    </w:p>
    <w:bookmarkEnd w:id="23"/>
    <w:bookmarkStart w:id="25" w:name="Xd6eaedbb111ed65f723500d219a5ae443abcd24"/>
    <w:p>
      <w:pPr>
        <w:pStyle w:val="Heading3"/>
      </w:pPr>
      <w:r>
        <w:t xml:space="preserve">Project Description: EV Infrastructure &amp; Powertrain Optimization</w:t>
      </w:r>
    </w:p>
    <w:p>
      <w:pPr>
        <w:pStyle w:val="FirstParagraph"/>
      </w:pPr>
      <w:r>
        <w:t xml:space="preserve">This invoice covers professional services rendered by a qualified Automotive Engineer regarding the optimization of electric vehicle powertrains and the design of charging infrastructure protocols. These services were executed in strict compliance with the technical standards mandated by the Saudi Standards, Metrology and Quality Organization (SASO) and the specific urban planning requirements of Riyadh. The scope included thermal management analysis for high-temperature environments typical of the Riyadh region, ensuring vehicle reliability and safety under local climatic conditions.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rPr>
                <w:bCs/>
                <w:b/>
              </w:rPr>
              <w:t xml:space="preserve">Powertrain Efficiency Analysis:</w:t>
            </w:r>
            <w:r>
              <w:br/>
            </w:r>
            <w:r>
              <w:t xml:space="preserve">Comprehensive simulation and testing of battery electric vehicle (BEV) drivetrains. This involved optimizing motor efficiency maps to suit the stop-and-go traffic patterns prevalent in Riyadh's urban centers. The Automotive Engineer conducted detailed energy consumption modeling to ensure compliance with Vision 2030 sustainability goals.</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rPr>
                <w:bCs/>
                <w:b/>
              </w:rPr>
              <w:t xml:space="preserve">Thermal Management System Design:</w:t>
            </w:r>
            <w:r>
              <w:br/>
            </w:r>
            <w:r>
              <w:t xml:space="preserve">Engineering design for cooling systems capable of withstanding Riyadh's extreme summer temperatures. This service included CFD (Computational Fluid Dynamics) analysis to prevent battery thermal runaway and ensure passenger cabin comfort. The design adheres to local safety regulations for high-voltage automotive systems.</w:t>
            </w:r>
          </w:p>
        </w:tc>
        <w:tc>
          <w:tcPr/>
          <w:p>
            <w:pPr>
              <w:pStyle w:val="Compact"/>
              <w:jc w:val="left"/>
            </w:pPr>
            <w:r>
              <w:t xml:space="preserve">35 Hours</w:t>
            </w:r>
          </w:p>
        </w:tc>
        <w:tc>
          <w:tcPr/>
          <w:p>
            <w:pPr>
              <w:pStyle w:val="Compact"/>
              <w:jc w:val="left"/>
            </w:pPr>
            <w:r>
              <w:t xml:space="preserve">850.00</w:t>
            </w:r>
          </w:p>
        </w:tc>
        <w:tc>
          <w:tcPr/>
          <w:p>
            <w:pPr>
              <w:pStyle w:val="Compact"/>
              <w:jc w:val="left"/>
            </w:pPr>
            <w:r>
              <w:t xml:space="preserve">29,750.00</w:t>
            </w:r>
          </w:p>
        </w:tc>
      </w:tr>
      <w:tr>
        <w:tc>
          <w:tcPr/>
          <w:p>
            <w:pPr>
              <w:pStyle w:val="Compact"/>
              <w:jc w:val="left"/>
            </w:pPr>
            <w:r>
              <w:rPr>
                <w:bCs/>
                <w:b/>
              </w:rPr>
              <w:t xml:space="preserve">Charging Infrastructure Protocol Integration:</w:t>
            </w:r>
            <w:r>
              <w:br/>
            </w:r>
            <w:r>
              <w:t xml:space="preserve">Consultation on the integration of CCS2 and CHAdeMO charging standards for a new fleet deployment in Riyadh. The Automotive Engineer provided technical specifications for grid load balancing and interoperability with local utility providers (SEC).</w:t>
            </w:r>
          </w:p>
        </w:tc>
        <w:tc>
          <w:tcPr/>
          <w:p>
            <w:pPr>
              <w:pStyle w:val="Compact"/>
              <w:jc w:val="left"/>
            </w:pPr>
            <w:r>
              <w:t xml:space="preserve">20 Hours</w:t>
            </w:r>
          </w:p>
        </w:tc>
        <w:tc>
          <w:tcPr/>
          <w:p>
            <w:pPr>
              <w:pStyle w:val="Compact"/>
              <w:jc w:val="left"/>
            </w:pPr>
            <w:r>
              <w:t xml:space="preserve">850.00</w:t>
            </w:r>
          </w:p>
        </w:tc>
        <w:tc>
          <w:tcPr/>
          <w:p>
            <w:pPr>
              <w:pStyle w:val="Compact"/>
              <w:jc w:val="left"/>
            </w:pPr>
            <w:r>
              <w:t xml:space="preserve">17,000.00</w:t>
            </w:r>
          </w:p>
        </w:tc>
      </w:tr>
      <w:tr>
        <w:tc>
          <w:tcPr/>
          <w:p>
            <w:pPr>
              <w:pStyle w:val="Compact"/>
              <w:jc w:val="left"/>
            </w:pPr>
            <w:r>
              <w:rPr>
                <w:bCs/>
                <w:b/>
              </w:rPr>
              <w:t xml:space="preserve">Regulatory Compliance &amp; SASO Certification Support:</w:t>
            </w:r>
            <w:r>
              <w:br/>
            </w:r>
            <w:r>
              <w:t xml:space="preserve">Preparation of technical documentation required for vehicle type approval in Saudi Arabia. This includes emissions testing data (where applicable for hybrids), safety crashworthiness reports, and electromagnetic compatibility (EMC) testing coordination.</w:t>
            </w:r>
          </w:p>
        </w:tc>
        <w:tc>
          <w:tcPr/>
          <w:p>
            <w:pPr>
              <w:pStyle w:val="Compact"/>
              <w:jc w:val="left"/>
            </w:pPr>
            <w:r>
              <w:t xml:space="preserve">15 Hours</w:t>
            </w:r>
          </w:p>
        </w:tc>
        <w:tc>
          <w:tcPr/>
          <w:p>
            <w:pPr>
              <w:pStyle w:val="Compact"/>
              <w:jc w:val="left"/>
            </w:pPr>
            <w:r>
              <w:t xml:space="preserve">850.00</w:t>
            </w:r>
          </w:p>
        </w:tc>
        <w:tc>
          <w:tcPr/>
          <w:p>
            <w:pPr>
              <w:pStyle w:val="Compact"/>
              <w:jc w:val="left"/>
            </w:pPr>
            <w:r>
              <w:t xml:space="preserve">12,750.00</w:t>
            </w:r>
          </w:p>
        </w:tc>
      </w:tr>
      <w:tr>
        <w:tc>
          <w:tcPr/>
          <w:p>
            <w:pPr>
              <w:pStyle w:val="Compact"/>
              <w:jc w:val="left"/>
            </w:pPr>
            <w:r>
              <w:rPr>
                <w:bCs/>
                <w:b/>
              </w:rPr>
              <w:t xml:space="preserve">On-Site Technical Consultation:</w:t>
            </w:r>
            <w:r>
              <w:br/>
            </w:r>
            <w:r>
              <w:t xml:space="preserve">Physical presence at the client's facility in Riyadh to oversee the implementation of the proposed engineering solutions. This included training local technicians on the maintenance of the new automotive systems.</w:t>
            </w:r>
          </w:p>
        </w:tc>
        <w:tc>
          <w:tcPr/>
          <w:p>
            <w:pPr>
              <w:pStyle w:val="Compact"/>
              <w:jc w:val="left"/>
            </w:pPr>
            <w:r>
              <w:t xml:space="preserve">5 Days</w:t>
            </w:r>
          </w:p>
        </w:tc>
        <w:tc>
          <w:tcPr/>
          <w:p>
            <w:pPr>
              <w:pStyle w:val="Compact"/>
              <w:jc w:val="left"/>
            </w:pPr>
            <w:r>
              <w:t xml:space="preserve">3,000.00</w:t>
            </w:r>
          </w:p>
        </w:tc>
        <w:tc>
          <w:tcPr/>
          <w:p>
            <w:pPr>
              <w:pStyle w:val="Compact"/>
              <w:jc w:val="left"/>
            </w:pPr>
            <w:r>
              <w:t xml:space="preserve">15,000.00</w:t>
            </w:r>
          </w:p>
        </w:tc>
      </w:tr>
    </w:tbl>
    <w:p>
      <w:pPr>
        <w:pStyle w:val="BodyText"/>
      </w:pPr>
      <w:r>
        <w:t xml:space="preserve">Subtotal:</w:t>
      </w:r>
      <w:r>
        <w:t xml:space="preserve"> </w:t>
      </w:r>
      <w:r>
        <w:t xml:space="preserve">108,500.00 SAR</w:t>
      </w:r>
    </w:p>
    <w:p>
      <w:pPr>
        <w:pStyle w:val="BodyText"/>
      </w:pPr>
      <w:r>
        <w:t xml:space="preserve">VAT (15%):</w:t>
      </w:r>
      <w:r>
        <w:t xml:space="preserve"> </w:t>
      </w:r>
      <w:r>
        <w:t xml:space="preserve">16,275.00 SAR</w:t>
      </w:r>
    </w:p>
    <w:p>
      <w:pPr>
        <w:pStyle w:val="BodyText"/>
      </w:pPr>
      <w:r>
        <w:t xml:space="preserve">Total Due:</w:t>
      </w:r>
      <w:r>
        <w:t xml:space="preserve"> </w:t>
      </w:r>
      <w:r>
        <w:t xml:space="preserve">124,775.00 SAR</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of 1.5% per month as per Saudi Arabian commercial law.</w:t>
      </w:r>
    </w:p>
    <w:p>
      <w:pPr>
        <w:numPr>
          <w:ilvl w:val="0"/>
          <w:numId w:val="1001"/>
        </w:numPr>
        <w:pStyle w:val="Compact"/>
      </w:pPr>
      <w:r>
        <w:rPr>
          <w:bCs/>
          <w:b/>
        </w:rPr>
        <w:t xml:space="preserve">Currency:</w:t>
      </w:r>
      <w:r>
        <w:t xml:space="preserve"> </w:t>
      </w:r>
      <w:r>
        <w:t xml:space="preserve">All amounts are quoted in Saudi Riyals (SAR).</w:t>
      </w:r>
    </w:p>
    <w:p>
      <w:pPr>
        <w:numPr>
          <w:ilvl w:val="0"/>
          <w:numId w:val="1001"/>
        </w:numPr>
        <w:pStyle w:val="Compact"/>
      </w:pPr>
      <w:r>
        <w:rPr>
          <w:bCs/>
          <w:b/>
        </w:rPr>
        <w:t xml:space="preserve">Scope of Work:</w:t>
      </w:r>
      <w:r>
        <w:t xml:space="preserve"> </w:t>
      </w:r>
      <w:r>
        <w:t xml:space="preserve">This invoice reflects the services provided by a certified Automotive Engineer specializing in electric mobility and thermal dynamics. Any additional services requested outside the original scope will be billed separately.</w:t>
      </w:r>
    </w:p>
    <w:p>
      <w:pPr>
        <w:numPr>
          <w:ilvl w:val="0"/>
          <w:numId w:val="1001"/>
        </w:numPr>
        <w:pStyle w:val="Compact"/>
      </w:pPr>
      <w:r>
        <w:rPr>
          <w:bCs/>
          <w:b/>
        </w:rPr>
        <w:t xml:space="preserve">Validity:</w:t>
      </w:r>
      <w:r>
        <w:t xml:space="preserve"> </w:t>
      </w:r>
      <w:r>
        <w:t xml:space="preserve">This Invoice is valid for the tax year 2023 and complies with the ZATCA (Zakat, Tax and Customs Authority) e-invoicing regulations.</w:t>
      </w:r>
    </w:p>
    <w:p>
      <w:pPr>
        <w:numPr>
          <w:ilvl w:val="0"/>
          <w:numId w:val="1001"/>
        </w:numPr>
        <w:pStyle w:val="Compact"/>
      </w:pPr>
      <w:r>
        <w:rPr>
          <w:bCs/>
          <w:b/>
        </w:rPr>
        <w:t xml:space="preserve">Bank Details:</w:t>
      </w:r>
    </w:p>
    <w:p>
      <w:pPr>
        <w:numPr>
          <w:ilvl w:val="1"/>
          <w:numId w:val="1002"/>
        </w:numPr>
        <w:pStyle w:val="Compact"/>
      </w:pPr>
      <w:r>
        <w:t xml:space="preserve">Bank Name: Al Rajhi Bank</w:t>
      </w:r>
    </w:p>
    <w:p>
      <w:pPr>
        <w:numPr>
          <w:ilvl w:val="1"/>
          <w:numId w:val="1002"/>
        </w:numPr>
        <w:pStyle w:val="Compact"/>
      </w:pPr>
      <w:r>
        <w:t xml:space="preserve">Account Name: Advanced Automotive Engineering Solutions</w:t>
      </w:r>
    </w:p>
    <w:p>
      <w:pPr>
        <w:numPr>
          <w:ilvl w:val="1"/>
          <w:numId w:val="1002"/>
        </w:numPr>
        <w:pStyle w:val="Compact"/>
      </w:pPr>
      <w:r>
        <w:t xml:space="preserve">IBAN: SA03 8000 0000 6080 1016 7519</w:t>
      </w:r>
    </w:p>
    <w:p>
      <w:pPr>
        <w:numPr>
          <w:ilvl w:val="1"/>
          <w:numId w:val="1002"/>
        </w:numPr>
        <w:pStyle w:val="Compact"/>
      </w:pPr>
      <w:r>
        <w:t xml:space="preserve">SWIFT Code: NBSASARIXXX</w:t>
      </w:r>
    </w:p>
    <w:p>
      <w:pPr>
        <w:pStyle w:val="FirstParagraph"/>
      </w:pPr>
      <w:r>
        <w:t xml:space="preserve">Thank you for your business. We are committed to supporting the automotive innovation landscape in Saudi Arabia Riyadh through high-quality engineering solutions.</w:t>
      </w:r>
    </w:p>
    <w:bookmarkEnd w:id="24"/>
    <w:p>
      <w:pPr>
        <w:pStyle w:val="BodyText"/>
      </w:pPr>
      <w:r>
        <w:t xml:space="preserve">This document is a computer-generated Invoice. No signature is required.</w:t>
      </w:r>
      <w:r>
        <w:br/>
      </w:r>
      <w:r>
        <w:t xml:space="preserve">Generated on: October 24, 2023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2026-10-10T08:02:37Z</dcterms:created>
  <dcterms:modified xsi:type="dcterms:W3CDTF">2026-10-10T08:02:37Z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