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Boulangerie</w:t>
      </w:r>
      <w:r>
        <w:t xml:space="preserve"> </w:t>
      </w:r>
      <w:r>
        <w:t xml:space="preserve">du</w:t>
      </w:r>
      <w:r>
        <w:t xml:space="preserve"> </w:t>
      </w:r>
      <w:r>
        <w:t xml:space="preserve">Vieux</w:t>
      </w:r>
      <w:r>
        <w:t xml:space="preserve"> </w:t>
      </w:r>
      <w:r>
        <w:t xml:space="preserve">Port,</w:t>
      </w:r>
      <w:r>
        <w:t xml:space="preserve"> </w:t>
      </w:r>
      <w:r>
        <w:t xml:space="preserve">Marseille,</w:t>
      </w:r>
      <w:r>
        <w:t xml:space="preserve"> </w:t>
      </w:r>
      <w:r>
        <w:t xml:space="preserve">France</w:t>
      </w:r>
    </w:p>
    <w:bookmarkStart w:id="20" w:name="boulangerie-du-vieux-port"/>
    <w:p>
      <w:pPr>
        <w:pStyle w:val="Heading1"/>
      </w:pPr>
      <w:r>
        <w:t xml:space="preserve">BOULANGERIE DU VIEUX PORT</w:t>
      </w:r>
    </w:p>
    <w:p>
      <w:pPr>
        <w:pStyle w:val="FirstParagraph"/>
      </w:pPr>
      <w:r>
        <w:t xml:space="preserve">Artisan Baker &amp; Pâtissier — Marseille, France</w:t>
      </w:r>
    </w:p>
    <w:p>
      <w:pPr>
        <w:pStyle w:val="BodyText"/>
      </w:pPr>
      <w:r>
        <w:t xml:space="preserve">14 Quai de Rive Neuve, 13007 Marseille, Bouches-du-Rhône, France</w:t>
      </w:r>
    </w:p>
    <w:p>
      <w:pPr>
        <w:pStyle w:val="BodyText"/>
      </w:pPr>
      <w:r>
        <w:t xml:space="preserve">Tel: +33 (0)4 91 54 22 87 | Email: contact@boulangerieduvieuxport.fr</w:t>
      </w:r>
    </w:p>
    <w:p>
      <w:pPr>
        <w:pStyle w:val="BodyText"/>
      </w:pPr>
      <w:r>
        <w:t xml:space="preserve">SIRET: 847 293 615 00031 | TVA Intracommunautaire: FR 42 847293615</w:t>
      </w:r>
    </w:p>
    <w:bookmarkEnd w:id="20"/>
    <w:p>
      <w:pPr>
        <w:pStyle w:val="BodyText"/>
      </w:pPr>
      <w:r>
        <w:t xml:space="preserve">INVOICE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BVP-2025-0417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Order Reference:</w:t>
      </w:r>
      <w:r>
        <w:t xml:space="preserve"> </w:t>
      </w:r>
      <w:r>
        <w:t xml:space="preserve">CMD-2025-0892</w:t>
      </w:r>
    </w:p>
    <w:bookmarkEnd w:id="21"/>
    <w:bookmarkStart w:id="22" w:name="billed-to"/>
    <w:p>
      <w:pPr>
        <w:pStyle w:val="Heading3"/>
      </w:pPr>
      <w:r>
        <w:t xml:space="preserve">Billed To</w:t>
      </w:r>
    </w:p>
    <w:p>
      <w:pPr>
        <w:pStyle w:val="FirstParagraph"/>
      </w:pPr>
      <w:r>
        <w:rPr>
          <w:bCs/>
          <w:b/>
        </w:rPr>
        <w:t xml:space="preserve">Restaurant La Canebière</w:t>
      </w:r>
    </w:p>
    <w:p>
      <w:pPr>
        <w:pStyle w:val="BodyText"/>
      </w:pPr>
      <w:r>
        <w:t xml:space="preserve">28 Rue de la Canebière</w:t>
      </w:r>
    </w:p>
    <w:p>
      <w:pPr>
        <w:pStyle w:val="BodyText"/>
      </w:pPr>
      <w:r>
        <w:t xml:space="preserve">13001 Marseille, Bouches-du-Rhône</w:t>
      </w:r>
    </w:p>
    <w:p>
      <w:pPr>
        <w:pStyle w:val="BodyText"/>
      </w:pPr>
      <w:r>
        <w:t xml:space="preserve">France</w:t>
      </w:r>
    </w:p>
    <w:p>
      <w:pPr>
        <w:pStyle w:val="BodyText"/>
      </w:pPr>
      <w:r>
        <w:t xml:space="preserve">SIRET: 512 847 391 00024</w:t>
      </w:r>
    </w:p>
    <w:p>
      <w:pPr>
        <w:pStyle w:val="BodyText"/>
      </w:pPr>
      <w:r>
        <w:t xml:space="preserve">Contact: M. Philippe Durand</w:t>
      </w:r>
    </w:p>
    <w:p>
      <w:pPr>
        <w:pStyle w:val="BodyText"/>
      </w:pPr>
      <w:r>
        <w:t xml:space="preserve">Email: p.durand@lacanebiere-marseille.fr</w:t>
      </w:r>
    </w:p>
    <w:bookmarkEnd w:id="22"/>
    <w:bookmarkStart w:id="25" w:name="line-items-artisan-bakery-products"/>
    <w:p>
      <w:pPr>
        <w:pStyle w:val="Heading2"/>
      </w:pPr>
      <w:r>
        <w:t xml:space="preserve">Line Items — Artisan Bakery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01</w:t>
            </w:r>
          </w:p>
        </w:tc>
        <w:tc>
          <w:tcPr/>
          <w:p>
            <w:pPr>
              <w:pStyle w:val="Compact"/>
              <w:jc w:val="left"/>
            </w:pPr>
            <w:r>
              <w:t xml:space="preserve">Baguette Tradition de Marseille — 250g, artisan sourdough, baked fresh daily</w:t>
            </w:r>
          </w:p>
        </w:tc>
        <w:tc>
          <w:tcPr/>
          <w:p>
            <w:pPr>
              <w:pStyle w:val="Compact"/>
              <w:jc w:val="left"/>
            </w:pPr>
            <w:r>
              <w:t xml:space="preserve">200</w:t>
            </w:r>
          </w:p>
        </w:tc>
        <w:tc>
          <w:tcPr/>
          <w:p>
            <w:pPr>
              <w:pStyle w:val="Compact"/>
              <w:jc w:val="left"/>
            </w:pPr>
            <w:r>
              <w:t xml:space="preserve">1.20</w:t>
            </w:r>
          </w:p>
        </w:tc>
        <w:tc>
          <w:tcPr/>
          <w:p>
            <w:pPr>
              <w:pStyle w:val="Compact"/>
              <w:jc w:val="left"/>
            </w:pPr>
            <w:r>
              <w:t xml:space="preserve">240.00</w:t>
            </w:r>
          </w:p>
        </w:tc>
        <w:tc>
          <w:tcPr/>
          <w:p>
            <w:pPr>
              <w:pStyle w:val="Compact"/>
              <w:jc w:val="left"/>
            </w:pPr>
            <w:r>
              <w:t xml:space="preserve">5.5%</w:t>
            </w:r>
          </w:p>
        </w:tc>
      </w:tr>
      <w:tr>
        <w:tc>
          <w:tcPr/>
          <w:p>
            <w:pPr>
              <w:pStyle w:val="Compact"/>
              <w:jc w:val="left"/>
            </w:pPr>
            <w:r>
              <w:t xml:space="preserve">02</w:t>
            </w:r>
          </w:p>
        </w:tc>
        <w:tc>
          <w:tcPr/>
          <w:p>
            <w:pPr>
              <w:pStyle w:val="Compact"/>
              <w:jc w:val="left"/>
            </w:pPr>
            <w:r>
              <w:t xml:space="preserve">Pain de Campagne Provençal — 800g, stone-milled wheat, 48-hour fermentation</w:t>
            </w:r>
          </w:p>
        </w:tc>
        <w:tc>
          <w:tcPr/>
          <w:p>
            <w:pPr>
              <w:pStyle w:val="Compact"/>
              <w:jc w:val="left"/>
            </w:pPr>
            <w:r>
              <w:t xml:space="preserve">80</w:t>
            </w:r>
          </w:p>
        </w:tc>
        <w:tc>
          <w:tcPr/>
          <w:p>
            <w:pPr>
              <w:pStyle w:val="Compact"/>
              <w:jc w:val="left"/>
            </w:pPr>
            <w:r>
              <w:t xml:space="preserve">4.50</w:t>
            </w:r>
          </w:p>
        </w:tc>
        <w:tc>
          <w:tcPr/>
          <w:p>
            <w:pPr>
              <w:pStyle w:val="Compact"/>
              <w:jc w:val="left"/>
            </w:pPr>
            <w:r>
              <w:t xml:space="preserve">360.00</w:t>
            </w:r>
          </w:p>
        </w:tc>
        <w:tc>
          <w:tcPr/>
          <w:p>
            <w:pPr>
              <w:pStyle w:val="Compact"/>
              <w:jc w:val="left"/>
            </w:pPr>
            <w:r>
              <w:t xml:space="preserve">5.5%</w:t>
            </w:r>
          </w:p>
        </w:tc>
      </w:tr>
      <w:tr>
        <w:tc>
          <w:tcPr/>
          <w:p>
            <w:pPr>
              <w:pStyle w:val="Compact"/>
              <w:jc w:val="left"/>
            </w:pPr>
            <w:r>
              <w:t xml:space="preserve">03</w:t>
            </w:r>
          </w:p>
        </w:tc>
        <w:tc>
          <w:tcPr/>
          <w:p>
            <w:pPr>
              <w:pStyle w:val="Compact"/>
              <w:jc w:val="left"/>
            </w:pPr>
            <w:r>
              <w:t xml:space="preserve">Croissant au Beurre AOP Charentes-Poitou — 60g, 27 layers of laminated dough</w:t>
            </w:r>
          </w:p>
        </w:tc>
        <w:tc>
          <w:tcPr/>
          <w:p>
            <w:pPr>
              <w:pStyle w:val="Compact"/>
              <w:jc w:val="left"/>
            </w:pPr>
            <w:r>
              <w:t xml:space="preserve">150</w:t>
            </w:r>
          </w:p>
        </w:tc>
        <w:tc>
          <w:tcPr/>
          <w:p>
            <w:pPr>
              <w:pStyle w:val="Compact"/>
              <w:jc w:val="left"/>
            </w:pPr>
            <w:r>
              <w:t xml:space="preserve">1.80</w:t>
            </w:r>
          </w:p>
        </w:tc>
        <w:tc>
          <w:tcPr/>
          <w:p>
            <w:pPr>
              <w:pStyle w:val="Compact"/>
              <w:jc w:val="left"/>
            </w:pPr>
            <w:r>
              <w:t xml:space="preserve">270.00</w:t>
            </w:r>
          </w:p>
        </w:tc>
        <w:tc>
          <w:tcPr/>
          <w:p>
            <w:pPr>
              <w:pStyle w:val="Compact"/>
              <w:jc w:val="left"/>
            </w:pPr>
            <w:r>
              <w:t xml:space="preserve">10%</w:t>
            </w:r>
          </w:p>
        </w:tc>
      </w:tr>
      <w:tr>
        <w:tc>
          <w:tcPr/>
          <w:p>
            <w:pPr>
              <w:pStyle w:val="Compact"/>
              <w:jc w:val="left"/>
            </w:pPr>
            <w:r>
              <w:t xml:space="preserve">04</w:t>
            </w:r>
          </w:p>
        </w:tc>
        <w:tc>
          <w:tcPr/>
          <w:p>
            <w:pPr>
              <w:pStyle w:val="Compact"/>
              <w:jc w:val="left"/>
            </w:pPr>
            <w:r>
              <w:t xml:space="preserve">Pain au Chocolat Grand Cru — 70g, Valrhona dark chocolate batons</w:t>
            </w:r>
          </w:p>
        </w:tc>
        <w:tc>
          <w:tcPr/>
          <w:p>
            <w:pPr>
              <w:pStyle w:val="Compact"/>
              <w:jc w:val="left"/>
            </w:pPr>
            <w:r>
              <w:t xml:space="preserve">120</w:t>
            </w:r>
          </w:p>
        </w:tc>
        <w:tc>
          <w:tcPr/>
          <w:p>
            <w:pPr>
              <w:pStyle w:val="Compact"/>
              <w:jc w:val="left"/>
            </w:pPr>
            <w:r>
              <w:t xml:space="preserve">2.10</w:t>
            </w:r>
          </w:p>
        </w:tc>
        <w:tc>
          <w:tcPr/>
          <w:p>
            <w:pPr>
              <w:pStyle w:val="Compact"/>
              <w:jc w:val="left"/>
            </w:pPr>
            <w:r>
              <w:t xml:space="preserve">252.00</w:t>
            </w:r>
          </w:p>
        </w:tc>
        <w:tc>
          <w:tcPr/>
          <w:p>
            <w:pPr>
              <w:pStyle w:val="Compact"/>
              <w:jc w:val="left"/>
            </w:pPr>
            <w:r>
              <w:t xml:space="preserve">10%</w:t>
            </w:r>
          </w:p>
        </w:tc>
      </w:tr>
      <w:tr>
        <w:tc>
          <w:tcPr/>
          <w:p>
            <w:pPr>
              <w:pStyle w:val="Compact"/>
              <w:jc w:val="left"/>
            </w:pPr>
            <w:r>
              <w:t xml:space="preserve">05</w:t>
            </w:r>
          </w:p>
        </w:tc>
        <w:tc>
          <w:tcPr/>
          <w:p>
            <w:pPr>
              <w:pStyle w:val="Compact"/>
              <w:jc w:val="left"/>
            </w:pPr>
            <w:r>
              <w:t xml:space="preserve">Calisson de Marseille — Traditional almond and honey confection, box of 12</w:t>
            </w:r>
          </w:p>
        </w:tc>
        <w:tc>
          <w:tcPr/>
          <w:p>
            <w:pPr>
              <w:pStyle w:val="Compact"/>
              <w:jc w:val="left"/>
            </w:pPr>
            <w:r>
              <w:t xml:space="preserve">40</w:t>
            </w:r>
          </w:p>
        </w:tc>
        <w:tc>
          <w:tcPr/>
          <w:p>
            <w:pPr>
              <w:pStyle w:val="Compact"/>
              <w:jc w:val="left"/>
            </w:pPr>
            <w:r>
              <w:t xml:space="preserve">12.50</w:t>
            </w:r>
          </w:p>
        </w:tc>
        <w:tc>
          <w:tcPr/>
          <w:p>
            <w:pPr>
              <w:pStyle w:val="Compact"/>
              <w:jc w:val="left"/>
            </w:pPr>
            <w:r>
              <w:t xml:space="preserve">500.00</w:t>
            </w:r>
          </w:p>
        </w:tc>
        <w:tc>
          <w:tcPr/>
          <w:p>
            <w:pPr>
              <w:pStyle w:val="Compact"/>
              <w:jc w:val="left"/>
            </w:pPr>
            <w:r>
              <w:t xml:space="preserve">10%</w:t>
            </w:r>
          </w:p>
        </w:tc>
      </w:tr>
      <w:tr>
        <w:tc>
          <w:tcPr/>
          <w:p>
            <w:pPr>
              <w:pStyle w:val="Compact"/>
              <w:jc w:val="left"/>
            </w:pPr>
            <w:r>
              <w:t xml:space="preserve">06</w:t>
            </w:r>
          </w:p>
        </w:tc>
        <w:tc>
          <w:tcPr/>
          <w:p>
            <w:pPr>
              <w:pStyle w:val="Compact"/>
              <w:jc w:val="left"/>
            </w:pPr>
            <w:r>
              <w:t xml:space="preserve">Tarte aux Olives Noires de Provence — 30cm, Niçoise olives, tomato confit</w:t>
            </w:r>
          </w:p>
        </w:tc>
        <w:tc>
          <w:tcPr/>
          <w:p>
            <w:pPr>
              <w:pStyle w:val="Compact"/>
              <w:jc w:val="left"/>
            </w:pPr>
            <w:r>
              <w:t xml:space="preserve">25</w:t>
            </w:r>
          </w:p>
        </w:tc>
        <w:tc>
          <w:tcPr/>
          <w:p>
            <w:pPr>
              <w:pStyle w:val="Compact"/>
              <w:jc w:val="left"/>
            </w:pPr>
            <w:r>
              <w:t xml:space="preserve">18.00</w:t>
            </w:r>
          </w:p>
        </w:tc>
        <w:tc>
          <w:tcPr/>
          <w:p>
            <w:pPr>
              <w:pStyle w:val="Compact"/>
              <w:jc w:val="left"/>
            </w:pPr>
            <w:r>
              <w:t xml:space="preserve">450.00</w:t>
            </w:r>
          </w:p>
        </w:tc>
        <w:tc>
          <w:tcPr/>
          <w:p>
            <w:pPr>
              <w:pStyle w:val="Compact"/>
              <w:jc w:val="left"/>
            </w:pPr>
            <w:r>
              <w:t xml:space="preserve">10%</w:t>
            </w:r>
          </w:p>
        </w:tc>
      </w:tr>
      <w:tr>
        <w:tc>
          <w:tcPr/>
          <w:p>
            <w:pPr>
              <w:pStyle w:val="Compact"/>
              <w:jc w:val="left"/>
            </w:pPr>
            <w:r>
              <w:t xml:space="preserve">07</w:t>
            </w:r>
          </w:p>
        </w:tc>
        <w:tc>
          <w:tcPr/>
          <w:p>
            <w:pPr>
              <w:pStyle w:val="Compact"/>
              <w:jc w:val="left"/>
            </w:pPr>
            <w:r>
              <w:t xml:space="preserve">Focaccia Provençale au Romarin — 400g, extra virgin olive oil, fresh rosemary</w:t>
            </w:r>
          </w:p>
        </w:tc>
        <w:tc>
          <w:tcPr/>
          <w:p>
            <w:pPr>
              <w:pStyle w:val="Compact"/>
              <w:jc w:val="left"/>
            </w:pPr>
            <w:r>
              <w:t xml:space="preserve">60</w:t>
            </w:r>
          </w:p>
        </w:tc>
        <w:tc>
          <w:tcPr/>
          <w:p>
            <w:pPr>
              <w:pStyle w:val="Compact"/>
              <w:jc w:val="left"/>
            </w:pPr>
            <w:r>
              <w:t xml:space="preserve">5.20</w:t>
            </w:r>
          </w:p>
        </w:tc>
        <w:tc>
          <w:tcPr/>
          <w:p>
            <w:pPr>
              <w:pStyle w:val="Compact"/>
              <w:jc w:val="left"/>
            </w:pPr>
            <w:r>
              <w:t xml:space="preserve">312.00</w:t>
            </w:r>
          </w:p>
        </w:tc>
        <w:tc>
          <w:tcPr/>
          <w:p>
            <w:pPr>
              <w:pStyle w:val="Compact"/>
              <w:jc w:val="left"/>
            </w:pPr>
            <w:r>
              <w:t xml:space="preserve">5.5%</w:t>
            </w:r>
          </w:p>
        </w:tc>
      </w:tr>
      <w:tr>
        <w:tc>
          <w:tcPr/>
          <w:p>
            <w:pPr>
              <w:pStyle w:val="Compact"/>
              <w:jc w:val="left"/>
            </w:pPr>
            <w:r>
              <w:t xml:space="preserve">08</w:t>
            </w:r>
          </w:p>
        </w:tc>
        <w:tc>
          <w:tcPr/>
          <w:p>
            <w:pPr>
              <w:pStyle w:val="Compact"/>
              <w:jc w:val="left"/>
            </w:pPr>
            <w:r>
              <w:t xml:space="preserve">Entremet Citron de Menton — 8 portions, AOP Menton lemon curd, sablé breton</w:t>
            </w:r>
          </w:p>
        </w:tc>
        <w:tc>
          <w:tcPr/>
          <w:p>
            <w:pPr>
              <w:pStyle w:val="Compact"/>
              <w:jc w:val="left"/>
            </w:pPr>
            <w:r>
              <w:t xml:space="preserve">15</w:t>
            </w:r>
          </w:p>
        </w:tc>
        <w:tc>
          <w:tcPr/>
          <w:p>
            <w:pPr>
              <w:pStyle w:val="Compact"/>
              <w:jc w:val="left"/>
            </w:pPr>
            <w:r>
              <w:t xml:space="preserve">32.00</w:t>
            </w:r>
          </w:p>
        </w:tc>
        <w:tc>
          <w:tcPr/>
          <w:p>
            <w:pPr>
              <w:pStyle w:val="Compact"/>
              <w:jc w:val="left"/>
            </w:pPr>
            <w:r>
              <w:t xml:space="preserve">480.00</w:t>
            </w:r>
          </w:p>
        </w:tc>
        <w:tc>
          <w:tcPr/>
          <w:p>
            <w:pPr>
              <w:pStyle w:val="Compact"/>
              <w:jc w:val="left"/>
            </w:pPr>
            <w:r>
              <w:t xml:space="preserve">10%</w:t>
            </w:r>
          </w:p>
        </w:tc>
      </w:tr>
      <w:tr>
        <w:tc>
          <w:tcPr/>
          <w:p>
            <w:pPr>
              <w:pStyle w:val="Compact"/>
              <w:jc w:val="left"/>
            </w:pPr>
            <w:r>
              <w:t xml:space="preserve">09</w:t>
            </w:r>
          </w:p>
        </w:tc>
        <w:tc>
          <w:tcPr/>
          <w:p>
            <w:pPr>
              <w:pStyle w:val="Compact"/>
              <w:jc w:val="left"/>
            </w:pPr>
            <w:r>
              <w:t xml:space="preserve">Pain de Seigle et Miel de Lavande — 600g, rye bread with Provençal lavender honey</w:t>
            </w:r>
          </w:p>
        </w:tc>
        <w:tc>
          <w:tcPr/>
          <w:p>
            <w:pPr>
              <w:pStyle w:val="Compact"/>
              <w:jc w:val="left"/>
            </w:pPr>
            <w:r>
              <w:t xml:space="preserve">50</w:t>
            </w:r>
          </w:p>
        </w:tc>
        <w:tc>
          <w:tcPr/>
          <w:p>
            <w:pPr>
              <w:pStyle w:val="Compact"/>
              <w:jc w:val="left"/>
            </w:pPr>
            <w:r>
              <w:t xml:space="preserve">5.80</w:t>
            </w:r>
          </w:p>
        </w:tc>
        <w:tc>
          <w:tcPr/>
          <w:p>
            <w:pPr>
              <w:pStyle w:val="Compact"/>
              <w:jc w:val="left"/>
            </w:pPr>
            <w:r>
              <w:t xml:space="preserve">290.00</w:t>
            </w:r>
          </w:p>
        </w:tc>
        <w:tc>
          <w:tcPr/>
          <w:p>
            <w:pPr>
              <w:pStyle w:val="Compact"/>
              <w:jc w:val="left"/>
            </w:pPr>
            <w:r>
              <w:t xml:space="preserve">5.5%</w:t>
            </w:r>
          </w:p>
        </w:tc>
      </w:tr>
      <w:tr>
        <w:tc>
          <w:tcPr/>
          <w:p>
            <w:pPr>
              <w:pStyle w:val="Compact"/>
              <w:jc w:val="left"/>
            </w:pPr>
            <w:r>
              <w:t xml:space="preserve">10</w:t>
            </w:r>
          </w:p>
        </w:tc>
        <w:tc>
          <w:tcPr/>
          <w:p>
            <w:pPr>
              <w:pStyle w:val="Compact"/>
              <w:jc w:val="left"/>
            </w:pPr>
            <w:r>
              <w:t xml:space="preserve">Delivery and cold-chain logistics within Marseille city limits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(Bread &amp; Viennoiserie — 5.5% VAT)</w:t>
            </w:r>
          </w:p>
        </w:tc>
        <w:tc>
          <w:tcPr/>
          <w:p>
            <w:pPr>
              <w:pStyle w:val="Compact"/>
              <w:jc w:val="right"/>
            </w:pPr>
            <w:r>
              <w:t xml:space="preserve">1,292.00</w:t>
            </w:r>
          </w:p>
        </w:tc>
      </w:tr>
      <w:tr>
        <w:tc>
          <w:tcPr/>
          <w:p>
            <w:pPr>
              <w:pStyle w:val="Compact"/>
              <w:jc w:val="left"/>
            </w:pPr>
            <w:r>
              <w:t xml:space="preserve">Subtotal (Pâtisserie &amp; Confection — 10% VAT)</w:t>
            </w:r>
          </w:p>
        </w:tc>
        <w:tc>
          <w:tcPr/>
          <w:p>
            <w:pPr>
              <w:pStyle w:val="Compact"/>
              <w:jc w:val="right"/>
            </w:pPr>
            <w:r>
              <w:t xml:space="preserve">1,952.00</w:t>
            </w:r>
          </w:p>
        </w:tc>
      </w:tr>
      <w:tr>
        <w:tc>
          <w:tcPr/>
          <w:p>
            <w:pPr>
              <w:pStyle w:val="Compact"/>
              <w:jc w:val="left"/>
            </w:pPr>
            <w:r>
              <w:t xml:space="preserve">Subtotal (Services — 20% VAT)</w:t>
            </w:r>
          </w:p>
        </w:tc>
        <w:tc>
          <w:tcPr/>
          <w:p>
            <w:pPr>
              <w:pStyle w:val="Compact"/>
              <w:jc w:val="right"/>
            </w:pPr>
            <w:r>
              <w:t xml:space="preserve">45.00</w:t>
            </w:r>
          </w:p>
        </w:tc>
      </w:tr>
      <w:tr>
        <w:tc>
          <w:tcPr/>
          <w:p>
            <w:pPr>
              <w:pStyle w:val="Compact"/>
              <w:jc w:val="left"/>
            </w:pPr>
            <w:r>
              <w:t xml:space="preserve">VAT Total (TVA)</w:t>
            </w:r>
          </w:p>
        </w:tc>
        <w:tc>
          <w:tcPr/>
          <w:p>
            <w:pPr>
              <w:pStyle w:val="Compact"/>
              <w:jc w:val="right"/>
            </w:pPr>
            <w:r>
              <w:t xml:space="preserve">254.66</w:t>
            </w:r>
          </w:p>
        </w:tc>
      </w:tr>
      <w:tr>
        <w:tc>
          <w:tcPr/>
          <w:p>
            <w:pPr>
              <w:pStyle w:val="Compact"/>
              <w:jc w:val="left"/>
            </w:pPr>
            <w:r>
              <w:t xml:space="preserve">Grand Total (TTC)</w:t>
            </w:r>
          </w:p>
        </w:tc>
        <w:tc>
          <w:tcPr/>
          <w:p>
            <w:pPr>
              <w:pStyle w:val="Compact"/>
              <w:jc w:val="right"/>
            </w:pPr>
            <w:r>
              <w:t xml:space="preserve">3,543.66</w:t>
            </w:r>
          </w:p>
        </w:tc>
      </w:tr>
    </w:tbl>
    <w:bookmarkStart w:id="23" w:name="payment-instructions"/>
    <w:p>
      <w:pPr>
        <w:pStyle w:val="Heading3"/>
      </w:pPr>
      <w:r>
        <w:t xml:space="preserve">Payment Instructions</w:t>
      </w:r>
    </w:p>
    <w:p>
      <w:pPr>
        <w:pStyle w:val="FirstParagraph"/>
      </w:pPr>
      <w:r>
        <w:t xml:space="preserve">Please settle the total amount of</w:t>
      </w:r>
      <w:r>
        <w:t xml:space="preserve"> </w:t>
      </w:r>
      <w:r>
        <w:rPr>
          <w:bCs/>
          <w:b/>
        </w:rPr>
        <w:t xml:space="preserve">3,543.66 EUR (TTC)</w:t>
      </w:r>
      <w:r>
        <w:t xml:space="preserve"> </w:t>
      </w:r>
      <w:r>
        <w:t xml:space="preserve">by bank transfer no later than 30 June 2025.</w:t>
      </w:r>
    </w:p>
    <w:p>
      <w:pPr>
        <w:pStyle w:val="BodyText"/>
      </w:pPr>
      <w:r>
        <w:rPr>
          <w:bCs/>
          <w:b/>
        </w:rPr>
        <w:t xml:space="preserve">Bank:</w:t>
      </w:r>
      <w:r>
        <w:t xml:space="preserve"> </w:t>
      </w:r>
      <w:r>
        <w:t xml:space="preserve">Crédit Mutuel de Provence</w:t>
      </w:r>
    </w:p>
    <w:p>
      <w:pPr>
        <w:pStyle w:val="BodyText"/>
      </w:pPr>
      <w:r>
        <w:rPr>
          <w:bCs/>
          <w:b/>
        </w:rPr>
        <w:t xml:space="preserve">IBAN:</w:t>
      </w:r>
      <w:r>
        <w:t xml:space="preserve"> </w:t>
      </w:r>
      <w:r>
        <w:t xml:space="preserve">FR76 1820 6012 3456 7890 1234 567</w:t>
      </w:r>
    </w:p>
    <w:p>
      <w:pPr>
        <w:pStyle w:val="BodyText"/>
      </w:pPr>
      <w:r>
        <w:rPr>
          <w:bCs/>
          <w:b/>
        </w:rPr>
        <w:t xml:space="preserve">BIC/SWIFT:</w:t>
      </w:r>
      <w:r>
        <w:t xml:space="preserve"> </w:t>
      </w:r>
      <w:r>
        <w:t xml:space="preserve">CMFRFR1A</w:t>
      </w:r>
    </w:p>
    <w:p>
      <w:pPr>
        <w:pStyle w:val="BodyText"/>
      </w:pPr>
      <w:r>
        <w:rPr>
          <w:bCs/>
          <w:b/>
        </w:rPr>
        <w:t xml:space="preserve">Reference:</w:t>
      </w:r>
      <w:r>
        <w:t xml:space="preserve"> </w:t>
      </w:r>
      <w:r>
        <w:t xml:space="preserve">BVP-2025-0417</w:t>
      </w:r>
    </w:p>
    <w:p>
      <w:pPr>
        <w:pStyle w:val="BodyText"/>
      </w:pPr>
      <w:r>
        <w:t xml:space="preserve">A late payment penalty of 1.5% per month (as per French Commercial Code, Article L441-10) will apply to any outstanding balance after the due date.</w:t>
      </w:r>
    </w:p>
    <w:bookmarkEnd w:id="23"/>
    <w:bookmarkStart w:id="24" w:name="notes-terms"/>
    <w:p>
      <w:pPr>
        <w:pStyle w:val="Heading3"/>
      </w:pPr>
      <w:r>
        <w:t xml:space="preserve">Notes &amp; Terms</w:t>
      </w:r>
    </w:p>
    <w:p>
      <w:pPr>
        <w:pStyle w:val="FirstParagraph"/>
      </w:pPr>
      <w:r>
        <w:t xml:space="preserve">This invoice is issued by Boulangerie du Vieux Port, a registered artisan bakery (boulangerie artisanale) operating in the historic Vieux Port district of Marseille, France. All bread and pastry items listed above are produced on-site using traditional French baking methods, locally sourced Provençal ingredients, and certified organic flour milled in the Bouches-du-Rhône region.</w:t>
      </w:r>
    </w:p>
    <w:p>
      <w:pPr>
        <w:pStyle w:val="BodyText"/>
      </w:pPr>
      <w:r>
        <w:t xml:space="preserve">All baked goods are delivered fresh on the morning of 16 June 2025 between 05:00 and 07:00 CET to the premises of Restaurant La Canebière. The Calisson de Marseille and Entremet Citron de Menton are produced in accordance with the traditional recipes of Marseille and the Menton region respectively, and are packaged in temperature-controlled containers to preserve quality during transit within the city of Marseille.</w:t>
      </w:r>
    </w:p>
    <w:p>
      <w:pPr>
        <w:pStyle w:val="BodyText"/>
      </w:pPr>
      <w:r>
        <w:t xml:space="preserve">This invoice is valid for a period of three (3) years from the date of issue in accordance with French tax regulations (Code Général des Impôts, Article L102 B). In the event of any discrepancy, please contact our accounting department within five (5) business days of receipt. All disputes shall be governed by the laws of the French Republic, and any legal proceedings shall fall under the jurisdiction of the Tribunal de Commerce de Marseille.</w:t>
      </w:r>
    </w:p>
    <w:p>
      <w:pPr>
        <w:pStyle w:val="BodyText"/>
      </w:pPr>
      <w:r>
        <w:t xml:space="preserve">Boulangerie du Vieux Port is a member of the Confédération des Boulangeries-Pâtisseries Artisanales de France and holds the official "Boulangerie Artisanale" label. We are committed to sustainable sourcing, zero-waste baking practices, and the preservation of the rich culinary heritage of Marseille and the broader Provence-Alpes-Côte d'Azur region.</w:t>
      </w:r>
    </w:p>
    <w:bookmarkEnd w:id="24"/>
    <w:p>
      <w:pPr>
        <w:pStyle w:val="BodyText"/>
      </w:pPr>
      <w:r>
        <w:rPr>
          <w:bCs/>
          <w:b/>
        </w:rPr>
        <w:t xml:space="preserve">Boulangerie du Vieux Port</w:t>
      </w:r>
      <w:r>
        <w:t xml:space="preserve"> </w:t>
      </w:r>
      <w:r>
        <w:t xml:space="preserve">— 14 Quai de Rive Neuve, 13007 Marseille, France</w:t>
      </w:r>
    </w:p>
    <w:p>
      <w:pPr>
        <w:pStyle w:val="BodyText"/>
      </w:pPr>
      <w:r>
        <w:t xml:space="preserve">SIRET: 847 293 615 00031 | RCS Marseille | TVA: FR 42 847293615</w:t>
      </w:r>
    </w:p>
    <w:p>
      <w:pPr>
        <w:pStyle w:val="BodyText"/>
      </w:pPr>
      <w:r>
        <w:t xml:space="preserve">Capital: 15,000 EUR | Gérant: M. Antoine Beaumont</w:t>
      </w:r>
    </w:p>
    <w:p>
      <w:pPr>
        <w:pStyle w:val="BodyText"/>
      </w:pPr>
      <w:r>
        <w:t xml:space="preserve">This document constitutes a valid invoice (facture) under French commercial law. No reproduction or distribution without written consent.</w:t>
      </w:r>
    </w:p>
    <w:p>
      <w:pPr>
        <w:pStyle w:val="BodyText"/>
      </w:pPr>
      <w:r>
        <w:t xml:space="preserve">Merci de votre confiance — Thank you for your business.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Boulangerie du Vieux Port, Marseille, France</dc:title>
  <dc:creator/>
  <dc:language>en</dc:language>
  <cp:keywords/>
  <dcterms:created xsi:type="dcterms:W3CDTF">2026-10-10T02:33:34Z</dcterms:created>
  <dcterms:modified xsi:type="dcterms:W3CDTF">2026-10-10T02:33:34Z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