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BANKER SERVICES</w:t>
      </w:r>
    </w:p>
    <w:p>
      <w:pPr>
        <w:pStyle w:val="BodyText"/>
      </w:pPr>
      <w:r>
        <w:t xml:space="preserve">Professional Financial Advisory &amp; Banking Solutions</w:t>
      </w:r>
    </w:p>
    <w:p>
      <w:pPr>
        <w:pStyle w:val="BodyText"/>
      </w:pPr>
      <w:r>
        <w:t xml:space="preserve">Argentina Buenos Aires — Financial District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INV-BA-2025-04871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 / USD</w:t>
      </w:r>
    </w:p>
    <w:p>
      <w:pPr>
        <w:pStyle w:val="BodyText"/>
      </w:pPr>
      <w:r>
        <w:rPr>
          <w:bCs/>
          <w:b/>
        </w:rPr>
        <w:t xml:space="preserve">Issuing Location:</w:t>
      </w:r>
      <w:r>
        <w:t xml:space="preserve"> </w:t>
      </w:r>
      <w:r>
        <w:t xml:space="preserve">Argentina Buenos Aires</w:t>
      </w:r>
    </w:p>
    <w:bookmarkEnd w:id="21"/>
    <w:bookmarkStart w:id="22" w:name="banker-service-provider"/>
    <w:p>
      <w:pPr>
        <w:pStyle w:val="Heading3"/>
      </w:pPr>
      <w:r>
        <w:t xml:space="preserve">Banker / Service Provider</w:t>
      </w:r>
    </w:p>
    <w:p>
      <w:pPr>
        <w:pStyle w:val="FirstParagraph"/>
      </w:pPr>
      <w:r>
        <w:rPr>
          <w:bCs/>
          <w:b/>
        </w:rPr>
        <w:t xml:space="preserve">Name:</w:t>
      </w:r>
      <w:r>
        <w:t xml:space="preserve"> </w:t>
      </w:r>
      <w:r>
        <w:t xml:space="preserve">Ricardo A. Fernández</w:t>
      </w:r>
    </w:p>
    <w:p>
      <w:pPr>
        <w:pStyle w:val="BodyText"/>
      </w:pPr>
      <w:r>
        <w:rPr>
          <w:bCs/>
          <w:b/>
        </w:rPr>
        <w:t xml:space="preserve">Title:</w:t>
      </w:r>
      <w:r>
        <w:t xml:space="preserve"> </w:t>
      </w:r>
      <w:r>
        <w:t xml:space="preserve">Senior Banker &amp; Financial Advisor</w:t>
      </w:r>
    </w:p>
    <w:p>
      <w:pPr>
        <w:pStyle w:val="BodyText"/>
      </w:pPr>
      <w:r>
        <w:rPr>
          <w:bCs/>
          <w:b/>
        </w:rPr>
        <w:t xml:space="preserve">Firm:</w:t>
      </w:r>
      <w:r>
        <w:t xml:space="preserve"> </w:t>
      </w:r>
      <w:r>
        <w:t xml:space="preserve">Fernández &amp; Asociados Bankers S.A.</w:t>
      </w:r>
    </w:p>
    <w:p>
      <w:pPr>
        <w:pStyle w:val="BodyText"/>
      </w:pPr>
      <w:r>
        <w:rPr>
          <w:bCs/>
          <w:b/>
        </w:rPr>
        <w:t xml:space="preserve">Address:</w:t>
      </w:r>
      <w:r>
        <w:t xml:space="preserve"> </w:t>
      </w:r>
      <w:r>
        <w:t xml:space="preserve">Av. Corrientes 1250, Piso 14</w:t>
      </w:r>
    </w:p>
    <w:p>
      <w:pPr>
        <w:pStyle w:val="BodyText"/>
      </w:pPr>
      <w:r>
        <w:rPr>
          <w:bCs/>
          <w:b/>
        </w:rPr>
        <w:t xml:space="preserve">City:</w:t>
      </w:r>
      <w:r>
        <w:t xml:space="preserve"> </w:t>
      </w:r>
      <w:r>
        <w:t xml:space="preserve">Argentina Buenos Aires, C1043AAE</w:t>
      </w:r>
    </w:p>
    <w:p>
      <w:pPr>
        <w:pStyle w:val="BodyText"/>
      </w:pPr>
      <w:r>
        <w:rPr>
          <w:bCs/>
          <w:b/>
        </w:rPr>
        <w:t xml:space="preserve">CUIT:</w:t>
      </w:r>
      <w:r>
        <w:t xml:space="preserve"> </w:t>
      </w:r>
      <w:r>
        <w:t xml:space="preserve">30-71234567-8</w:t>
      </w:r>
    </w:p>
    <w:p>
      <w:pPr>
        <w:pStyle w:val="BodyText"/>
      </w:pPr>
      <w:r>
        <w:rPr>
          <w:bCs/>
          <w:b/>
        </w:rPr>
        <w:t xml:space="preserve">Email:</w:t>
      </w:r>
      <w:r>
        <w:t xml:space="preserve"> </w:t>
      </w:r>
      <w:r>
        <w:t xml:space="preserve">r.fernandez@fernandezbankers.com.ar</w:t>
      </w:r>
    </w:p>
    <w:p>
      <w:pPr>
        <w:pStyle w:val="BodyText"/>
      </w:pPr>
      <w:r>
        <w:rPr>
          <w:bCs/>
          <w:b/>
        </w:rPr>
        <w:t xml:space="preserve">Phone:</w:t>
      </w:r>
      <w:r>
        <w:t xml:space="preserve"> </w:t>
      </w:r>
      <w:r>
        <w:t xml:space="preserve">+54 11 4321-5678</w:t>
      </w:r>
    </w:p>
    <w:bookmarkEnd w:id="22"/>
    <w:bookmarkStart w:id="23" w:name="bill-to-client"/>
    <w:p>
      <w:pPr>
        <w:pStyle w:val="Heading3"/>
      </w:pPr>
      <w:r>
        <w:t xml:space="preserve">Bill To / Client</w:t>
      </w:r>
    </w:p>
    <w:p>
      <w:pPr>
        <w:pStyle w:val="FirstParagraph"/>
      </w:pPr>
      <w:r>
        <w:rPr>
          <w:bCs/>
          <w:b/>
        </w:rPr>
        <w:t xml:space="preserve">Company:</w:t>
      </w:r>
      <w:r>
        <w:t xml:space="preserve"> </w:t>
      </w:r>
      <w:r>
        <w:t xml:space="preserve">Grupo Industrial del Plata S.R.L.</w:t>
      </w:r>
    </w:p>
    <w:p>
      <w:pPr>
        <w:pStyle w:val="BodyText"/>
      </w:pPr>
      <w:r>
        <w:rPr>
          <w:bCs/>
          <w:b/>
        </w:rPr>
        <w:t xml:space="preserve">Attn:</w:t>
      </w:r>
      <w:r>
        <w:t xml:space="preserve"> </w:t>
      </w:r>
      <w:r>
        <w:t xml:space="preserve">María Elena Sosa, Chief Financial Officer</w:t>
      </w:r>
    </w:p>
    <w:p>
      <w:pPr>
        <w:pStyle w:val="BodyText"/>
      </w:pPr>
      <w:r>
        <w:rPr>
          <w:bCs/>
          <w:b/>
        </w:rPr>
        <w:t xml:space="preserve">Address:</w:t>
      </w:r>
      <w:r>
        <w:t xml:space="preserve"> </w:t>
      </w:r>
      <w:r>
        <w:t xml:space="preserve">Av. del Libertador 5800, Piso 8</w:t>
      </w:r>
    </w:p>
    <w:p>
      <w:pPr>
        <w:pStyle w:val="BodyText"/>
      </w:pPr>
      <w:r>
        <w:rPr>
          <w:bCs/>
          <w:b/>
        </w:rPr>
        <w:t xml:space="preserve">City:</w:t>
      </w:r>
      <w:r>
        <w:t xml:space="preserve"> </w:t>
      </w:r>
      <w:r>
        <w:t xml:space="preserve">Argentina Buenos Aires, C1405DPA</w:t>
      </w:r>
    </w:p>
    <w:p>
      <w:pPr>
        <w:pStyle w:val="BodyText"/>
      </w:pPr>
      <w:r>
        <w:rPr>
          <w:bCs/>
          <w:b/>
        </w:rPr>
        <w:t xml:space="preserve">CUIT:</w:t>
      </w:r>
      <w:r>
        <w:t xml:space="preserve"> </w:t>
      </w:r>
      <w:r>
        <w:t xml:space="preserve">30-69876543-2</w:t>
      </w:r>
    </w:p>
    <w:p>
      <w:pPr>
        <w:pStyle w:val="BodyText"/>
      </w:pPr>
      <w:r>
        <w:rPr>
          <w:bCs/>
          <w:b/>
        </w:rPr>
        <w:t xml:space="preserve">Email:</w:t>
      </w:r>
      <w:r>
        <w:t xml:space="preserve"> </w:t>
      </w:r>
      <w:r>
        <w:t xml:space="preserve">m.sosa@grupodelplata.com.ar</w:t>
      </w:r>
    </w:p>
    <w:bookmarkEnd w:id="23"/>
    <w:bookmarkStart w:id="25" w:name="Xbbda34506de3676225289c75cf0b0faf7474569"/>
    <w:p>
      <w:pPr>
        <w:pStyle w:val="Heading2"/>
      </w:pPr>
      <w:r>
        <w:t xml:space="preserve">Services Rendered by Banker in Argentina Buenos Aires</w:t>
      </w:r>
    </w:p>
    <w:p>
      <w:pPr>
        <w:pStyle w:val="FirstParagraph"/>
      </w:pPr>
      <w:r>
        <w:t xml:space="preserve">The following Invoice reflects the professional banking and financial advisory services provided by the undersigned Banker, operating within the jurisdiction of Argentina Buenos Aires, in accordance with the terms established in the Service Agreement dated March 1, 2025. All services were performed in compliance with the regulations of the Banco Central de la República Argentina (BCRA) and applicable Argentine financial legislation.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Comprehensive corporate banking strategy consultation and account restructuring for Grupo Industrial del Plata. The Banker conducted a full review of existing credit facilities, deposit accounts, and interbank relationships across multiple financial institutions in Argentina Buenos Aires.</w:t>
            </w:r>
          </w:p>
        </w:tc>
        <w:tc>
          <w:tcPr/>
          <w:p>
            <w:pPr>
              <w:pStyle w:val="Compact"/>
              <w:jc w:val="left"/>
            </w:pPr>
            <w:r>
              <w:t xml:space="preserve">Apr 10,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Foreign exchange risk management advisory. The Banker prepared a detailed hedging strategy document addressing USD/ARS exposure, including forward contracts, options structures, and natural hedging recommendations tailored to the client's import-export operations in Argentina Buenos Aires.</w:t>
            </w:r>
          </w:p>
        </w:tc>
        <w:tc>
          <w:tcPr/>
          <w:p>
            <w:pPr>
              <w:pStyle w:val="Compact"/>
              <w:jc w:val="left"/>
            </w:pPr>
            <w:r>
              <w:t xml:space="preserve">Apr 22, 2025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Negotiation support and due diligence for a syndicated loan facility of ARS 2.5 billion. The Banker represented the client in discussions with three Argentine commercial banks, reviewing term sheets, covenants, and collateral requirements.</w:t>
            </w:r>
          </w:p>
        </w:tc>
        <w:tc>
          <w:tcPr/>
          <w:p>
            <w:pPr>
              <w:pStyle w:val="Compact"/>
              <w:jc w:val="left"/>
            </w:pPr>
            <w:r>
              <w:t xml:space="preserve">May 05, 2025</w:t>
            </w:r>
          </w:p>
        </w:tc>
        <w:tc>
          <w:tcPr/>
          <w:p>
            <w:pPr>
              <w:pStyle w:val="Compact"/>
              <w:jc w:val="left"/>
            </w:pPr>
            <w:r>
              <w:t xml:space="preserve">16.0</w:t>
            </w:r>
          </w:p>
        </w:tc>
        <w:tc>
          <w:tcPr/>
          <w:p>
            <w:pPr>
              <w:pStyle w:val="Compact"/>
              <w:jc w:val="left"/>
            </w:pPr>
            <w:r>
              <w:t xml:space="preserve">50,000</w:t>
            </w:r>
          </w:p>
        </w:tc>
        <w:tc>
          <w:tcPr/>
          <w:p>
            <w:pPr>
              <w:pStyle w:val="Compact"/>
              <w:jc w:val="left"/>
            </w:pPr>
            <w:r>
              <w:t xml:space="preserve">800,000.00</w:t>
            </w:r>
          </w:p>
        </w:tc>
      </w:tr>
      <w:tr>
        <w:tc>
          <w:tcPr/>
          <w:p>
            <w:pPr>
              <w:pStyle w:val="Compact"/>
              <w:jc w:val="left"/>
            </w:pPr>
            <w:r>
              <w:t xml:space="preserve">4</w:t>
            </w:r>
          </w:p>
        </w:tc>
        <w:tc>
          <w:tcPr/>
          <w:p>
            <w:pPr>
              <w:pStyle w:val="Compact"/>
              <w:jc w:val="left"/>
            </w:pPr>
            <w:r>
              <w:t xml:space="preserve">Quarterly financial reporting and regulatory compliance review. The Banker prepared the mandatory reporting package for submission to the Comisión Nacional de Valores (CNV) and ensured all disclosures met the standards required for entities operating in Argentina Buenos Aires.</w:t>
            </w:r>
          </w:p>
        </w:tc>
        <w:tc>
          <w:tcPr/>
          <w:p>
            <w:pPr>
              <w:pStyle w:val="Compact"/>
              <w:jc w:val="left"/>
            </w:pPr>
            <w:r>
              <w:t xml:space="preserve">May 18, 2025</w:t>
            </w:r>
          </w:p>
        </w:tc>
        <w:tc>
          <w:tcPr/>
          <w:p>
            <w:pPr>
              <w:pStyle w:val="Compact"/>
              <w:jc w:val="left"/>
            </w:pPr>
            <w:r>
              <w:t xml:space="preserve">10.0</w:t>
            </w:r>
          </w:p>
        </w:tc>
        <w:tc>
          <w:tcPr/>
          <w:p>
            <w:pPr>
              <w:pStyle w:val="Compact"/>
              <w:jc w:val="left"/>
            </w:pPr>
            <w:r>
              <w:t xml:space="preserve">45,000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Capital structure optimization and debt refinancing analysis. The Banker modeled three alternative refinancing scenarios, evaluated cost of capital implications, and presented recommendations to the client's Board of Directors in Argentina Buenos Aires.</w:t>
            </w:r>
          </w:p>
        </w:tc>
        <w:tc>
          <w:tcPr/>
          <w:p>
            <w:pPr>
              <w:pStyle w:val="Compact"/>
              <w:jc w:val="left"/>
            </w:pPr>
            <w:r>
              <w:t xml:space="preserve">Jun 02, 2025</w:t>
            </w:r>
          </w:p>
        </w:tc>
        <w:tc>
          <w:tcPr/>
          <w:p>
            <w:pPr>
              <w:pStyle w:val="Compact"/>
              <w:jc w:val="left"/>
            </w:pPr>
            <w:r>
              <w:t xml:space="preserve">14.0</w:t>
            </w:r>
          </w:p>
        </w:tc>
        <w:tc>
          <w:tcPr/>
          <w:p>
            <w:pPr>
              <w:pStyle w:val="Compact"/>
              <w:jc w:val="left"/>
            </w:pPr>
            <w:r>
              <w:t xml:space="preserve">50,000</w:t>
            </w:r>
          </w:p>
        </w:tc>
        <w:tc>
          <w:tcPr/>
          <w:p>
            <w:pPr>
              <w:pStyle w:val="Compact"/>
              <w:jc w:val="left"/>
            </w:pPr>
            <w:r>
              <w:t xml:space="preserve">700,000.00</w:t>
            </w:r>
          </w:p>
        </w:tc>
      </w:tr>
      <w:tr>
        <w:tc>
          <w:tcPr/>
          <w:p>
            <w:pPr>
              <w:pStyle w:val="Compact"/>
              <w:jc w:val="left"/>
            </w:pPr>
            <w:r>
              <w:t xml:space="preserve">6</w:t>
            </w:r>
          </w:p>
        </w:tc>
        <w:tc>
          <w:tcPr/>
          <w:p>
            <w:pPr>
              <w:pStyle w:val="Compact"/>
              <w:jc w:val="left"/>
            </w:pPr>
            <w:r>
              <w:t xml:space="preserve">Onboarding and setup of new corporate banking relationships. The Banker facilitated the opening of new accounts, configured automated payment systems, and established treasury management protocols with two additional financial institutions in Argentina Buenos Aires.</w:t>
            </w:r>
          </w:p>
        </w:tc>
        <w:tc>
          <w:tcPr/>
          <w:p>
            <w:pPr>
              <w:pStyle w:val="Compact"/>
              <w:jc w:val="left"/>
            </w:pPr>
            <w:r>
              <w:t xml:space="preserve">Jun 10,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left"/>
            </w:pPr>
            <w:r>
              <w:t xml:space="preserve">3,120,000.00</w:t>
            </w:r>
          </w:p>
        </w:tc>
      </w:tr>
      <w:tr>
        <w:tc>
          <w:tcPr/>
          <w:p>
            <w:pPr>
              <w:pStyle w:val="Compact"/>
              <w:jc w:val="left"/>
            </w:pPr>
            <w:r>
              <w:t xml:space="preserve">IVA (21%) - Argentine Value Added Tax</w:t>
            </w:r>
          </w:p>
        </w:tc>
        <w:tc>
          <w:tcPr/>
          <w:p>
            <w:pPr>
              <w:pStyle w:val="Compact"/>
              <w:jc w:val="left"/>
            </w:pPr>
            <w:r>
              <w:t xml:space="preserve">655,200.00</w:t>
            </w:r>
          </w:p>
        </w:tc>
      </w:tr>
      <w:tr>
        <w:tc>
          <w:tcPr/>
          <w:p>
            <w:pPr>
              <w:pStyle w:val="Compact"/>
              <w:jc w:val="left"/>
            </w:pPr>
            <w:r>
              <w:t xml:space="preserve">Professional Services Surcharge (2%)</w:t>
            </w:r>
          </w:p>
        </w:tc>
        <w:tc>
          <w:tcPr/>
          <w:p>
            <w:pPr>
              <w:pStyle w:val="Compact"/>
              <w:jc w:val="left"/>
            </w:pPr>
            <w:r>
              <w:t xml:space="preserve">62,400.00</w:t>
            </w:r>
          </w:p>
        </w:tc>
      </w:tr>
      <w:tr>
        <w:tc>
          <w:tcPr/>
          <w:p>
            <w:pPr>
              <w:pStyle w:val="Compact"/>
              <w:jc w:val="left"/>
            </w:pPr>
            <w:r>
              <w:t xml:space="preserve">Discount for Early Payment (5% if paid before Jun 30, 2025)</w:t>
            </w:r>
          </w:p>
        </w:tc>
        <w:tc>
          <w:tcPr/>
          <w:p>
            <w:pPr>
              <w:pStyle w:val="Compact"/>
              <w:jc w:val="left"/>
            </w:pPr>
            <w:r>
              <w:t xml:space="preserve">-156,000.00</w:t>
            </w:r>
          </w:p>
        </w:tc>
      </w:tr>
      <w:tr>
        <w:tc>
          <w:tcPr/>
          <w:p>
            <w:pPr>
              <w:pStyle w:val="Compact"/>
              <w:jc w:val="left"/>
            </w:pPr>
            <w:r>
              <w:t xml:space="preserve">GRAND TOTAL (ARS)</w:t>
            </w:r>
          </w:p>
        </w:tc>
        <w:tc>
          <w:tcPr/>
          <w:p>
            <w:pPr>
              <w:pStyle w:val="Compact"/>
              <w:jc w:val="left"/>
            </w:pPr>
            <w:r>
              <w:t xml:space="preserve">3,681,600.00</w:t>
            </w:r>
          </w:p>
        </w:tc>
      </w:tr>
      <w:tr>
        <w:tc>
          <w:tcPr/>
          <w:p>
            <w:pPr>
              <w:pStyle w:val="Compact"/>
              <w:jc w:val="left"/>
            </w:pPr>
            <w:r>
              <w:t xml:space="preserve">Approximate USD Equivalent (Rate: 1 USD = 1,050 ARS)</w:t>
            </w:r>
          </w:p>
        </w:tc>
        <w:tc>
          <w:tcPr/>
          <w:p>
            <w:pPr>
              <w:pStyle w:val="Compact"/>
              <w:jc w:val="left"/>
            </w:pPr>
            <w:r>
              <w:t xml:space="preserve">3,506.29 USD</w:t>
            </w:r>
          </w:p>
        </w:tc>
      </w:tr>
    </w:tbl>
    <w:bookmarkStart w:id="24" w:name="payment-instructions-invoice-notes"/>
    <w:p>
      <w:pPr>
        <w:pStyle w:val="Heading3"/>
      </w:pPr>
      <w:r>
        <w:t xml:space="preserve">Payment Instructions &amp; Invoice Notes</w:t>
      </w:r>
    </w:p>
    <w:p>
      <w:pPr>
        <w:pStyle w:val="FirstParagraph"/>
      </w:pPr>
      <w:r>
        <w:rPr>
          <w:bCs/>
          <w:b/>
        </w:rPr>
        <w:t xml:space="preserve">Bank Transfer (Argentina Buenos Aires):</w:t>
      </w:r>
      <w:r>
        <w:t xml:space="preserve"> </w:t>
      </w:r>
      <w:r>
        <w:t xml:space="preserve">Please remit payment via local wire transfer to the following account held at Banco de la Nación Argentina, Sucursal Centro, Argentina Buenos Aires. Account Holder: Fernández &amp; Asociados Bankers S.A. CBU: 01100010000012345678901. Alias: FERNANDEZ.BANKERS.BA</w:t>
      </w:r>
    </w:p>
    <w:p>
      <w:pPr>
        <w:pStyle w:val="BodyText"/>
      </w:pPr>
      <w:r>
        <w:rPr>
          <w:bCs/>
          <w:b/>
        </w:rPr>
        <w:t xml:space="preserve">International Wire (USD):</w:t>
      </w:r>
      <w:r>
        <w:t xml:space="preserve"> </w:t>
      </w:r>
      <w:r>
        <w:t xml:space="preserve">For payments in US Dollars, please use the following SWIFT/BIC: BNAFARBU. Beneficiary Bank: Banco de la Nación Argentina, Argentina Buenos Aires. IBAN: AR04 0110 0010 0000 1234 5678 901.</w:t>
      </w:r>
    </w:p>
    <w:p>
      <w:pPr>
        <w:pStyle w:val="BodyText"/>
      </w:pPr>
      <w:r>
        <w:rPr>
          <w:bCs/>
          <w:b/>
        </w:rPr>
        <w:t xml:space="preserve">Important:</w:t>
      </w:r>
      <w:r>
        <w:t xml:space="preserve"> </w:t>
      </w:r>
      <w:r>
        <w:t xml:space="preserve">This Invoice is issued in accordance with Argentine tax regulations (Ley de Impuesto al Valor Agregado, Ley 23.349). The Banker is registered as a responsible taxpayer (Responsable Inscripto) with the Administración Federal de Ingresos Públicos (AFIP). A digital electronic invoice (Factura Electrónica) has been generated through the AFIP system and is available for download at the reference number provided above.</w:t>
      </w:r>
    </w:p>
    <w:p>
      <w:pPr>
        <w:pStyle w:val="BodyText"/>
      </w:pPr>
      <w:r>
        <w:rPr>
          <w:bCs/>
          <w:b/>
        </w:rPr>
        <w:t xml:space="preserve">Dispute Resolution:</w:t>
      </w:r>
      <w:r>
        <w:t xml:space="preserve"> </w:t>
      </w:r>
      <w:r>
        <w:t xml:space="preserve">Any disputes arising from this Invoice or the services rendered by the Banker shall be resolved in the competent courts of Argentina Buenos Aires, in accordance with Argentine civil and commercial law. The parties agree to attempt mediation before initiating any judicial proceedings.</w:t>
      </w:r>
    </w:p>
    <w:p>
      <w:pPr>
        <w:pStyle w:val="BodyText"/>
      </w:pPr>
      <w:r>
        <w:rPr>
          <w:bCs/>
          <w:b/>
        </w:rPr>
        <w:t xml:space="preserve">Validity:</w:t>
      </w:r>
      <w:r>
        <w:t xml:space="preserve"> </w:t>
      </w:r>
      <w:r>
        <w:t xml:space="preserve">This Invoice is valid for 30 calendar days from the date of issue. After the due date of July 15, 2025, a late payment interest of 1.5% per month (or the maximum rate permitted by Argentine law, whichever is lower) shall apply to the outstanding balance.</w:t>
      </w:r>
    </w:p>
    <w:bookmarkEnd w:id="24"/>
    <w:p>
      <w:pPr>
        <w:pStyle w:val="BodyText"/>
      </w:pPr>
      <w:r>
        <w:rPr>
          <w:bCs/>
          <w:b/>
        </w:rPr>
        <w:t xml:space="preserve">Fernández &amp; Asociados Bankers S.A.</w:t>
      </w:r>
      <w:r>
        <w:t xml:space="preserve"> </w:t>
      </w:r>
      <w:r>
        <w:t xml:space="preserve">— Professional Banking &amp; Financial Advisory Services</w:t>
      </w:r>
    </w:p>
    <w:p>
      <w:pPr>
        <w:pStyle w:val="BodyText"/>
      </w:pPr>
      <w:r>
        <w:t xml:space="preserve">Av. Corrientes 1250, Piso 14, Argentina Buenos Aires, C1043AAE, Argentina</w:t>
      </w:r>
    </w:p>
    <w:p>
      <w:pPr>
        <w:pStyle w:val="BodyText"/>
      </w:pPr>
      <w:r>
        <w:t xml:space="preserve">CUIT: 30-71234567-8 | AFIP Registration: Responsable Inscripto | BCRA Licensed Intermediary</w:t>
      </w:r>
    </w:p>
    <w:p>
      <w:pPr>
        <w:pStyle w:val="BodyText"/>
      </w:pPr>
      <w:r>
        <w:t xml:space="preserve">This Invoice was generated electronically and is valid without a physical signature in accordance with Argentine Law 25.506 (Electronic Signatures).</w:t>
      </w:r>
    </w:p>
    <w:p>
      <w:pPr>
        <w:pStyle w:val="BodyText"/>
      </w:pPr>
      <w:r>
        <w:t xml:space="preserve">Thank you for engaging our Banker services in Argentina Buenos Aires. We value your trust and look forward to continuing our professional relationship.</w:t>
      </w:r>
    </w:p>
    <w:p>
      <w:pPr>
        <w:pStyle w:val="BodyText"/>
      </w:pPr>
      <w:r>
        <w:t xml:space="preserve">© 2025 Fernández &amp; Asociados Bankers S.A. All rights reserved. Invoice INV-BA-2025-04871.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Argentina Buenos Aires</dc:title>
  <dc:creator/>
  <dc:language>en</dc:language>
  <cp:keywords/>
  <dcterms:created xsi:type="dcterms:W3CDTF">2026-10-10T08:42:01Z</dcterms:created>
  <dcterms:modified xsi:type="dcterms:W3CDTF">2026-10-10T08:42:01Z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