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Brisbane</w:t>
      </w:r>
      <w:r>
        <w:t xml:space="preserve"> </w:t>
      </w:r>
      <w:r>
        <w:t xml:space="preserve">Banker</w:t>
      </w:r>
      <w:r>
        <w:t xml:space="preserve"> </w:t>
      </w:r>
      <w:r>
        <w:t xml:space="preserve">Financial</w:t>
      </w:r>
      <w:r>
        <w:t xml:space="preserve"> </w:t>
      </w:r>
      <w:r>
        <w:t xml:space="preserve">Services</w:t>
      </w:r>
    </w:p>
    <w:p>
      <w:pPr>
        <w:pStyle w:val="FirstParagraph"/>
      </w:pPr>
      <w:r>
        <w:t xml:space="preserve">BRISBANE</w:t>
      </w:r>
      <w:r>
        <w:t xml:space="preserve"> </w:t>
      </w:r>
      <w:r>
        <w:t xml:space="preserve">BANKER</w:t>
      </w:r>
      <w:r>
        <w:t xml:space="preserve"> </w:t>
      </w:r>
      <w:r>
        <w:t xml:space="preserve">GROUP</w:t>
      </w:r>
    </w:p>
    <w:p>
      <w:pPr>
        <w:pStyle w:val="BodyText"/>
      </w:pPr>
      <w:r>
        <w:t xml:space="preserve">Licensed Financial Services &amp; Banking Advisory</w:t>
      </w:r>
      <w:r>
        <w:br/>
      </w:r>
      <w:r>
        <w:t xml:space="preserve">Level 12, 123 Creek Street, Brisbane City QLD 4000</w:t>
      </w:r>
      <w:r>
        <w:br/>
      </w:r>
      <w:r>
        <w:t xml:space="preserve">Australia Brisbane | ABN: 48 123 456 789</w:t>
      </w:r>
      <w:r>
        <w:br/>
      </w:r>
      <w:r>
        <w:t xml:space="preserve">AFSL No: 001234 | Tel: +61 7 3100 4567</w:t>
      </w:r>
      <w:r>
        <w:br/>
      </w:r>
      <w:r>
        <w:t xml:space="preserve">Email: invoicing@brisbanebanker.com.au</w:t>
      </w:r>
    </w:p>
    <w:p>
      <w:pPr>
        <w:pStyle w:val="BodyText"/>
      </w:pPr>
      <w:r>
        <w:t xml:space="preserve">INVOICE</w:t>
      </w:r>
    </w:p>
    <w:p>
      <w:pPr>
        <w:pStyle w:val="BodyText"/>
      </w:pPr>
      <w:r>
        <w:rPr>
          <w:bCs/>
          <w:b/>
        </w:rPr>
        <w:t xml:space="preserve">Invoice No:</w:t>
      </w:r>
      <w:r>
        <w:t xml:space="preserve"> </w:t>
      </w:r>
      <w:r>
        <w:t xml:space="preserve">BBG-2025-00487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Client File #BRB-2025-1192</w:t>
      </w:r>
    </w:p>
    <w:bookmarkStart w:id="20" w:name="prepared-by-banker"/>
    <w:p>
      <w:pPr>
        <w:pStyle w:val="Heading3"/>
      </w:pPr>
      <w:r>
        <w:t xml:space="preserve">Prepared By (Banker)</w:t>
      </w:r>
    </w:p>
    <w:p>
      <w:pPr>
        <w:pStyle w:val="FirstParagraph"/>
      </w:pPr>
      <w:r>
        <w:rPr>
          <w:bCs/>
          <w:b/>
        </w:rPr>
        <w:t xml:space="preserve">Mr. James A. Whitfield</w:t>
      </w:r>
    </w:p>
    <w:p>
      <w:pPr>
        <w:pStyle w:val="BodyText"/>
      </w:pPr>
      <w:r>
        <w:t xml:space="preserve">Senior Banker &amp; Financial Advisor</w:t>
      </w:r>
    </w:p>
    <w:p>
      <w:pPr>
        <w:pStyle w:val="BodyText"/>
      </w:pPr>
      <w:r>
        <w:t xml:space="preserve">Brisbane Banker Group Pty Ltd</w:t>
      </w:r>
    </w:p>
    <w:p>
      <w:pPr>
        <w:pStyle w:val="BodyText"/>
      </w:pPr>
      <w:r>
        <w:t xml:space="preserve">Level 12, 123 Creek Street</w:t>
      </w:r>
    </w:p>
    <w:p>
      <w:pPr>
        <w:pStyle w:val="BodyText"/>
      </w:pPr>
      <w:r>
        <w:t xml:space="preserve">Brisbane City, Queensland 4000</w:t>
      </w:r>
    </w:p>
    <w:p>
      <w:pPr>
        <w:pStyle w:val="BodyText"/>
      </w:pPr>
      <w:r>
        <w:t xml:space="preserve">Australia Brisbane</w:t>
      </w:r>
    </w:p>
    <w:bookmarkEnd w:id="20"/>
    <w:bookmarkStart w:id="21" w:name="billed-to-client"/>
    <w:p>
      <w:pPr>
        <w:pStyle w:val="Heading3"/>
      </w:pPr>
      <w:r>
        <w:t xml:space="preserve">Billed To (Client)</w:t>
      </w:r>
    </w:p>
    <w:p>
      <w:pPr>
        <w:pStyle w:val="FirstParagraph"/>
      </w:pPr>
      <w:r>
        <w:rPr>
          <w:bCs/>
          <w:b/>
        </w:rPr>
        <w:t xml:space="preserve">Ms. Sarah L. Henderson</w:t>
      </w:r>
    </w:p>
    <w:p>
      <w:pPr>
        <w:pStyle w:val="BodyText"/>
      </w:pPr>
      <w:r>
        <w:t xml:space="preserve">Henderson &amp; Associates Pty Ltd</w:t>
      </w:r>
    </w:p>
    <w:p>
      <w:pPr>
        <w:pStyle w:val="BodyText"/>
      </w:pPr>
      <w:r>
        <w:t xml:space="preserve">Unit 5, 456 Ann Street</w:t>
      </w:r>
    </w:p>
    <w:p>
      <w:pPr>
        <w:pStyle w:val="BodyText"/>
      </w:pPr>
      <w:r>
        <w:t xml:space="preserve">Fortitude Valley, Queensland 4006</w:t>
      </w:r>
    </w:p>
    <w:p>
      <w:pPr>
        <w:pStyle w:val="BodyText"/>
      </w:pPr>
      <w:r>
        <w:t xml:space="preserve">Australia Brisbane</w:t>
      </w:r>
    </w:p>
    <w:p>
      <w:pPr>
        <w:pStyle w:val="BodyText"/>
      </w:pPr>
      <w:r>
        <w:t xml:space="preserve">ABN: 21 987 654 321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&amp; Financial Services</w:t>
            </w:r>
          </w:p>
        </w:tc>
        <w:tc>
          <w:tcPr/>
          <w:p>
            <w:pPr>
              <w:pStyle w:val="Compact"/>
              <w:jc w:val="left"/>
            </w:pPr>
            <w:r>
              <w:t xml:space="preserve">Service Period</w:t>
            </w:r>
          </w:p>
        </w:tc>
        <w:tc>
          <w:tcPr/>
          <w:p>
            <w:pPr>
              <w:pStyle w:val="Compact"/>
              <w:jc w:val="left"/>
            </w:pPr>
            <w:r>
              <w:t xml:space="preserve">Rate (AUD)</w:t>
            </w:r>
          </w:p>
        </w:tc>
        <w:tc>
          <w:tcPr/>
          <w:p>
            <w:pPr>
              <w:pStyle w:val="Compact"/>
              <w:jc w:val="left"/>
            </w:pPr>
            <w:r>
              <w:t xml:space="preserve">Qty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Comprehensive Banking Account Review &amp; Restructuring for corporate entity operating in Australia Brisbane. Includes analysis of all transaction accounts, savings products, and business credit facilities held with major Australian financial institutions.</w:t>
            </w:r>
          </w:p>
        </w:tc>
        <w:tc>
          <w:tcPr/>
          <w:p>
            <w:pPr>
              <w:pStyle w:val="Compact"/>
              <w:jc w:val="left"/>
            </w:pPr>
            <w:r>
              <w:t xml:space="preserve">Jan – Mar 2025</w:t>
            </w:r>
          </w:p>
        </w:tc>
        <w:tc>
          <w:tcPr/>
          <w:p>
            <w:pPr>
              <w:pStyle w:val="Compact"/>
              <w:jc w:val="left"/>
            </w:pPr>
            <w:r>
              <w:t xml:space="preserve">$285.00</w:t>
            </w:r>
          </w:p>
        </w:tc>
        <w:tc>
          <w:tcPr/>
          <w:p>
            <w:pPr>
              <w:pStyle w:val="Compact"/>
              <w:jc w:val="left"/>
            </w:pPr>
            <w:r>
              <w:t xml:space="preserve">1</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Commercial Loan Refinancing Advisory. Full assessment of existing commercial mortgage held in Brisbane, Queensland, including negotiation strategy with lending institutions and preparation of comparative rate analysis for the Australia Brisbane property market.</w:t>
            </w:r>
          </w:p>
        </w:tc>
        <w:tc>
          <w:tcPr/>
          <w:p>
            <w:pPr>
              <w:pStyle w:val="Compact"/>
              <w:jc w:val="left"/>
            </w:pPr>
            <w:r>
              <w:t xml:space="preserve">Feb – Apr 2025</w:t>
            </w:r>
          </w:p>
        </w:tc>
        <w:tc>
          <w:tcPr/>
          <w:p>
            <w:pPr>
              <w:pStyle w:val="Compact"/>
              <w:jc w:val="left"/>
            </w:pPr>
            <w:r>
              <w:t xml:space="preserve">$1,450.00</w:t>
            </w:r>
          </w:p>
        </w:tc>
        <w:tc>
          <w:tcPr/>
          <w:p>
            <w:pPr>
              <w:pStyle w:val="Compact"/>
              <w:jc w:val="left"/>
            </w:pPr>
            <w:r>
              <w:t xml:space="preserve">1</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Foreign Exchange &amp; International Banking Advisory. Structured hedging strategy for client's import/export operations between Australia Brisbane and Southeast Asian markets. Includes quarterly FX review meetings and risk mitigation documentation.</w:t>
            </w:r>
          </w:p>
        </w:tc>
        <w:tc>
          <w:tcPr/>
          <w:p>
            <w:pPr>
              <w:pStyle w:val="Compact"/>
              <w:jc w:val="left"/>
            </w:pPr>
            <w:r>
              <w:t xml:space="preserve">Mar – May 2025</w:t>
            </w:r>
          </w:p>
        </w:tc>
        <w:tc>
          <w:tcPr/>
          <w:p>
            <w:pPr>
              <w:pStyle w:val="Compact"/>
              <w:jc w:val="left"/>
            </w:pPr>
            <w:r>
              <w:t xml:space="preserve">$620.00</w:t>
            </w:r>
          </w:p>
        </w:tc>
        <w:tc>
          <w:tcPr/>
          <w:p>
            <w:pPr>
              <w:pStyle w:val="Compact"/>
              <w:jc w:val="left"/>
            </w:pPr>
            <w:r>
              <w:t xml:space="preserve">3</w:t>
            </w:r>
          </w:p>
        </w:tc>
        <w:tc>
          <w:tcPr/>
          <w:p>
            <w:pPr>
              <w:pStyle w:val="Compact"/>
              <w:jc w:val="left"/>
            </w:pPr>
            <w:r>
              <w:t xml:space="preserve">$1,860.00</w:t>
            </w:r>
          </w:p>
        </w:tc>
      </w:tr>
      <w:tr>
        <w:tc>
          <w:tcPr/>
          <w:p>
            <w:pPr>
              <w:pStyle w:val="Compact"/>
              <w:jc w:val="left"/>
            </w:pPr>
            <w:r>
              <w:t xml:space="preserve">4</w:t>
            </w:r>
          </w:p>
        </w:tc>
        <w:tc>
          <w:tcPr/>
          <w:p>
            <w:pPr>
              <w:pStyle w:val="Compact"/>
              <w:jc w:val="left"/>
            </w:pPr>
            <w:r>
              <w:t xml:space="preserve">Business Credit Card &amp; Expense Management Setup. Configuration of corporate banking credit facilities, establishment of expense tracking protocols, and integration with client's accounting software for operations based in Australia Brisbane.</w:t>
            </w:r>
          </w:p>
        </w:tc>
        <w:tc>
          <w:tcPr/>
          <w:p>
            <w:pPr>
              <w:pStyle w:val="Compact"/>
              <w:jc w:val="left"/>
            </w:pPr>
            <w:r>
              <w:t xml:space="preserve">Apr 2025</w:t>
            </w:r>
          </w:p>
        </w:tc>
        <w:tc>
          <w:tcPr/>
          <w:p>
            <w:pPr>
              <w:pStyle w:val="Compact"/>
              <w:jc w:val="left"/>
            </w:pPr>
            <w:r>
              <w:t xml:space="preserve">$475.00</w:t>
            </w:r>
          </w:p>
        </w:tc>
        <w:tc>
          <w:tcPr/>
          <w:p>
            <w:pPr>
              <w:pStyle w:val="Compact"/>
              <w:jc w:val="left"/>
            </w:pPr>
            <w:r>
              <w:t xml:space="preserve">1</w:t>
            </w:r>
          </w:p>
        </w:tc>
        <w:tc>
          <w:tcPr/>
          <w:p>
            <w:pPr>
              <w:pStyle w:val="Compact"/>
              <w:jc w:val="left"/>
            </w:pPr>
            <w:r>
              <w:t xml:space="preserve">$475.00</w:t>
            </w:r>
          </w:p>
        </w:tc>
      </w:tr>
      <w:tr>
        <w:tc>
          <w:tcPr/>
          <w:p>
            <w:pPr>
              <w:pStyle w:val="Compact"/>
              <w:jc w:val="left"/>
            </w:pPr>
            <w:r>
              <w:t xml:space="preserve">5</w:t>
            </w:r>
          </w:p>
        </w:tc>
        <w:tc>
          <w:tcPr/>
          <w:p>
            <w:pPr>
              <w:pStyle w:val="Compact"/>
              <w:jc w:val="left"/>
            </w:pPr>
            <w:r>
              <w:t xml:space="preserve">Annual Banking Compliance &amp; AML Review. Mandatory anti-money laundering and counter-terrorism financing compliance audit in accordance with AUSTRAC regulations applicable to all banking entities operating within Australia Brisbane and the broader Queensland jurisdiction.</w:t>
            </w:r>
          </w:p>
        </w:tc>
        <w:tc>
          <w:tcPr/>
          <w:p>
            <w:pPr>
              <w:pStyle w:val="Compact"/>
              <w:jc w:val="left"/>
            </w:pPr>
            <w:r>
              <w:t xml:space="preserve">May 2025</w:t>
            </w:r>
          </w:p>
        </w:tc>
        <w:tc>
          <w:tcPr/>
          <w:p>
            <w:pPr>
              <w:pStyle w:val="Compact"/>
              <w:jc w:val="left"/>
            </w:pPr>
            <w:r>
              <w:t xml:space="preserve">$890.00</w:t>
            </w:r>
          </w:p>
        </w:tc>
        <w:tc>
          <w:tcPr/>
          <w:p>
            <w:pPr>
              <w:pStyle w:val="Compact"/>
              <w:jc w:val="left"/>
            </w:pPr>
            <w:r>
              <w:t xml:space="preserve">1</w:t>
            </w:r>
          </w:p>
        </w:tc>
        <w:tc>
          <w:tcPr/>
          <w:p>
            <w:pPr>
              <w:pStyle w:val="Compact"/>
              <w:jc w:val="left"/>
            </w:pPr>
            <w:r>
              <w:t xml:space="preserve">$890.00</w:t>
            </w:r>
          </w:p>
        </w:tc>
      </w:tr>
      <w:tr>
        <w:tc>
          <w:tcPr/>
          <w:p>
            <w:pPr>
              <w:pStyle w:val="Compact"/>
              <w:jc w:val="left"/>
            </w:pPr>
            <w:r>
              <w:t xml:space="preserve">6</w:t>
            </w:r>
          </w:p>
        </w:tc>
        <w:tc>
          <w:tcPr/>
          <w:p>
            <w:pPr>
              <w:pStyle w:val="Compact"/>
              <w:jc w:val="left"/>
            </w:pPr>
            <w:r>
              <w:t xml:space="preserve">Investment Banking Advisory – Quarterly Portfolio Review. Strategic review of client's investment portfolio, superannuation contributions, and wealth management products. Includes recommendation of suitable banking investment products available in the Australia Brisbane financial market.</w:t>
            </w:r>
          </w:p>
        </w:tc>
        <w:tc>
          <w:tcPr/>
          <w:p>
            <w:pPr>
              <w:pStyle w:val="Compact"/>
              <w:jc w:val="left"/>
            </w:pPr>
            <w:r>
              <w:t xml:space="preserve">Jun 2025</w:t>
            </w:r>
          </w:p>
        </w:tc>
        <w:tc>
          <w:tcPr/>
          <w:p>
            <w:pPr>
              <w:pStyle w:val="Compact"/>
              <w:jc w:val="left"/>
            </w:pPr>
            <w:r>
              <w:t xml:space="preserve">$540.00</w:t>
            </w:r>
          </w:p>
        </w:tc>
        <w:tc>
          <w:tcPr/>
          <w:p>
            <w:pPr>
              <w:pStyle w:val="Compact"/>
              <w:jc w:val="left"/>
            </w:pPr>
            <w:r>
              <w:t xml:space="preserve">1</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On-Site Banking Consultation at Client Premises, Fortitude Valley, Brisbane. Face-to-face meeting with the assigned Banker to discuss Q3 2025 banking strategy, cash flow forecasting, and upcoming capital expenditure planning for the Australia Brisbane business operation.</w:t>
            </w:r>
          </w:p>
        </w:tc>
        <w:tc>
          <w:tcPr/>
          <w:p>
            <w:pPr>
              <w:pStyle w:val="Compact"/>
              <w:jc w:val="left"/>
            </w:pPr>
            <w:r>
              <w:t xml:space="preserve">Jun 2025</w:t>
            </w:r>
          </w:p>
        </w:tc>
        <w:tc>
          <w:tcPr/>
          <w:p>
            <w:pPr>
              <w:pStyle w:val="Compact"/>
              <w:jc w:val="left"/>
            </w:pPr>
            <w:r>
              <w:t xml:space="preserve">$320.00</w:t>
            </w:r>
          </w:p>
        </w:tc>
        <w:tc>
          <w:tcPr/>
          <w:p>
            <w:pPr>
              <w:pStyle w:val="Compact"/>
              <w:jc w:val="left"/>
            </w:pPr>
            <w:r>
              <w:t xml:space="preserve">2</w:t>
            </w:r>
          </w:p>
        </w:tc>
        <w:tc>
          <w:tcPr/>
          <w:p>
            <w:pPr>
              <w:pStyle w:val="Compact"/>
              <w:jc w:val="left"/>
            </w:pPr>
            <w:r>
              <w:t xml:space="preserve">$640.00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$6,140.00</w:t>
            </w:r>
          </w:p>
        </w:tc>
      </w:tr>
      <w:tr>
        <w:tc>
          <w:tcPr/>
          <w:p>
            <w:pPr>
              <w:pStyle w:val="Compact"/>
              <w:jc w:val="left"/>
            </w:pPr>
            <w:r>
              <w:t xml:space="preserve">GST (10%) – Australian Taxation</w:t>
            </w:r>
          </w:p>
        </w:tc>
        <w:tc>
          <w:tcPr/>
          <w:p>
            <w:pPr>
              <w:pStyle w:val="Compact"/>
              <w:jc w:val="right"/>
            </w:pPr>
            <w:r>
              <w:t xml:space="preserve">$614.00</w:t>
            </w:r>
          </w:p>
        </w:tc>
      </w:tr>
      <w:tr>
        <w:tc>
          <w:tcPr/>
          <w:p>
            <w:pPr>
              <w:pStyle w:val="Compact"/>
              <w:jc w:val="left"/>
            </w:pPr>
            <w:r>
              <w:t xml:space="preserve">Discount – Loyal Client (5%)</w:t>
            </w:r>
          </w:p>
        </w:tc>
        <w:tc>
          <w:tcPr/>
          <w:p>
            <w:pPr>
              <w:pStyle w:val="Compact"/>
              <w:jc w:val="right"/>
            </w:pPr>
            <w:r>
              <w:t xml:space="preserve">-$307.00</w:t>
            </w:r>
          </w:p>
        </w:tc>
      </w:tr>
      <w:tr>
        <w:tc>
          <w:tcPr/>
          <w:p>
            <w:pPr>
              <w:pStyle w:val="Compact"/>
              <w:jc w:val="left"/>
            </w:pPr>
            <w:r>
              <w:t xml:space="preserve">TOTAL AMOUNT DUE (AUD)</w:t>
            </w:r>
          </w:p>
        </w:tc>
        <w:tc>
          <w:tcPr/>
          <w:p>
            <w:pPr>
              <w:pStyle w:val="Compact"/>
              <w:jc w:val="right"/>
            </w:pPr>
            <w:r>
              <w:t xml:space="preserve">$6,447.00</w:t>
            </w:r>
          </w:p>
        </w:tc>
      </w:tr>
    </w:tbl>
    <w:bookmarkStart w:id="22" w:name="Xe68dce8926fcfee52801fe1f48fd93668149476"/>
    <w:p>
      <w:pPr>
        <w:pStyle w:val="Heading3"/>
      </w:pPr>
      <w:r>
        <w:t xml:space="preserve">Payment Instructions – Australia Brisbane Banking</w:t>
      </w:r>
    </w:p>
    <w:p>
      <w:pPr>
        <w:pStyle w:val="FirstParagraph"/>
      </w:pPr>
      <w:r>
        <w:rPr>
          <w:bCs/>
          <w:b/>
        </w:rPr>
        <w:t xml:space="preserve">Payment Method:</w:t>
      </w:r>
      <w:r>
        <w:t xml:space="preserve"> </w:t>
      </w:r>
      <w:r>
        <w:t xml:space="preserve">Electronic Funds Transfer (EFT) / BPAY</w:t>
      </w:r>
    </w:p>
    <w:p>
      <w:pPr>
        <w:pStyle w:val="BodyText"/>
      </w:pPr>
      <w:r>
        <w:rPr>
          <w:bCs/>
          <w:b/>
        </w:rPr>
        <w:t xml:space="preserve">Bank:</w:t>
      </w:r>
      <w:r>
        <w:t xml:space="preserve"> </w:t>
      </w:r>
      <w:r>
        <w:t xml:space="preserve">Australia Brisbane Commercial Bank Ltd</w:t>
      </w:r>
    </w:p>
    <w:p>
      <w:pPr>
        <w:pStyle w:val="BodyText"/>
      </w:pPr>
      <w:r>
        <w:rPr>
          <w:bCs/>
          <w:b/>
        </w:rPr>
        <w:t xml:space="preserve">BSB:</w:t>
      </w:r>
      <w:r>
        <w:t xml:space="preserve"> </w:t>
      </w:r>
      <w:r>
        <w:t xml:space="preserve">062-000</w:t>
      </w:r>
    </w:p>
    <w:p>
      <w:pPr>
        <w:pStyle w:val="BodyText"/>
      </w:pPr>
      <w:r>
        <w:rPr>
          <w:bCs/>
          <w:b/>
        </w:rPr>
        <w:t xml:space="preserve">Account Number:</w:t>
      </w:r>
      <w:r>
        <w:t xml:space="preserve"> </w:t>
      </w:r>
      <w:r>
        <w:t xml:space="preserve">1234 5678</w:t>
      </w:r>
    </w:p>
    <w:p>
      <w:pPr>
        <w:pStyle w:val="BodyText"/>
      </w:pPr>
      <w:r>
        <w:rPr>
          <w:bCs/>
          <w:b/>
        </w:rPr>
        <w:t xml:space="preserve">Account Name:</w:t>
      </w:r>
      <w:r>
        <w:t xml:space="preserve"> </w:t>
      </w:r>
      <w:r>
        <w:t xml:space="preserve">Brisbane Banker Group Pty Ltd</w:t>
      </w:r>
    </w:p>
    <w:p>
      <w:pPr>
        <w:pStyle w:val="BodyText"/>
      </w:pPr>
      <w:r>
        <w:rPr>
          <w:bCs/>
          <w:b/>
        </w:rPr>
        <w:t xml:space="preserve">BPAY Code:</w:t>
      </w:r>
      <w:r>
        <w:t xml:space="preserve"> </w:t>
      </w:r>
      <w:r>
        <w:t xml:space="preserve">123456</w:t>
      </w:r>
    </w:p>
    <w:p>
      <w:pPr>
        <w:pStyle w:val="BodyText"/>
      </w:pPr>
      <w:r>
        <w:rPr>
          <w:bCs/>
          <w:b/>
        </w:rPr>
        <w:t xml:space="preserve">Reference:</w:t>
      </w:r>
      <w:r>
        <w:t xml:space="preserve"> </w:t>
      </w:r>
      <w:r>
        <w:t xml:space="preserve">BBG-2025-00487</w:t>
      </w:r>
    </w:p>
    <w:p>
      <w:pPr>
        <w:pStyle w:val="BodyText"/>
      </w:pPr>
      <w:r>
        <w:rPr>
          <w:bCs/>
          <w:b/>
        </w:rPr>
        <w:t xml:space="preserve">Due Date:</w:t>
      </w:r>
      <w:r>
        <w:t xml:space="preserve"> </w:t>
      </w:r>
      <w:r>
        <w:t xml:space="preserve">14 July 2025. Please ensure payment is received by the due date to avoid late payment interest of 2% per month as per Australian Consumer Law and the terms of this invoice.</w:t>
      </w:r>
    </w:p>
    <w:bookmarkEnd w:id="22"/>
    <w:bookmarkStart w:id="23" w:name="Xb445b55dc2adf6b39b7dfe96cbc6f5f54b566b3"/>
    <w:p>
      <w:pPr>
        <w:pStyle w:val="Heading3"/>
      </w:pPr>
      <w:r>
        <w:t xml:space="preserve">Terms &amp; Conditions – Brisbane Banker Group Pty Ltd</w:t>
      </w:r>
    </w:p>
    <w:p>
      <w:pPr>
        <w:numPr>
          <w:ilvl w:val="0"/>
          <w:numId w:val="1001"/>
        </w:numPr>
        <w:pStyle w:val="Compact"/>
      </w:pPr>
      <w:r>
        <w:t xml:space="preserve">This invoice is issued by Brisbane Banker Group Pty Ltd, a licensed banking and financial services provider registered in Australia Brisbane, Queensland, under the Australian Financial Services Licence (AFSL) No. 001234.</w:t>
      </w:r>
    </w:p>
    <w:p>
      <w:pPr>
        <w:numPr>
          <w:ilvl w:val="0"/>
          <w:numId w:val="1001"/>
        </w:numPr>
        <w:pStyle w:val="Compact"/>
      </w:pPr>
      <w:r>
        <w:t xml:space="preserve">All services described in this invoice were rendered by a qualified Banker in accordance with the Australian Banking Association (ABA) Code of Banking Practice and the Australian Securities and Investments Commission (ASIC) regulatory framework.</w:t>
      </w:r>
    </w:p>
    <w:p>
      <w:pPr>
        <w:numPr>
          <w:ilvl w:val="0"/>
          <w:numId w:val="1001"/>
        </w:numPr>
        <w:pStyle w:val="Compact"/>
      </w:pPr>
      <w:r>
        <w:t xml:space="preserve">Payment is due within thirty (30) calendar days from the date of issue. Late payments will attract interest at the rate of 2% per month or the maximum rate permitted under Queensland law, whichever is lower.</w:t>
      </w:r>
    </w:p>
    <w:p>
      <w:pPr>
        <w:numPr>
          <w:ilvl w:val="0"/>
          <w:numId w:val="1001"/>
        </w:numPr>
        <w:pStyle w:val="Compact"/>
      </w:pPr>
      <w:r>
        <w:t xml:space="preserve">All amounts are quoted in Australian Dollars (AUD) and include Goods and Services Tax (GST) at the current Australian rate of 10%, as administered by the Australian Taxation Office (ATO).</w:t>
      </w:r>
    </w:p>
    <w:p>
      <w:pPr>
        <w:numPr>
          <w:ilvl w:val="0"/>
          <w:numId w:val="1001"/>
        </w:numPr>
        <w:pStyle w:val="Compact"/>
      </w:pPr>
      <w:r>
        <w:t xml:space="preserve">This invoice and all associated banking advisory services are governed by the laws of the State of Queensland, Australia Brisbane, and the Commonwealth of Australia. Any disputes shall be resolved through the Financial Ombudsman Service (FOS) or the Queensland Civil and Administrative Tribunal (QCAT).</w:t>
      </w:r>
    </w:p>
    <w:p>
      <w:pPr>
        <w:numPr>
          <w:ilvl w:val="0"/>
          <w:numId w:val="1001"/>
        </w:numPr>
        <w:pStyle w:val="Compact"/>
      </w:pPr>
      <w:r>
        <w:t xml:space="preserve">Client confidentiality is maintained in strict accordance with the Privacy Act 1988 (Cth) and the Australian Privacy Principles. All banking data and financial records associated with this engagement will be stored securely in Australia Brisbane for a minimum period of seven (7) years.</w:t>
      </w:r>
    </w:p>
    <w:p>
      <w:pPr>
        <w:numPr>
          <w:ilvl w:val="0"/>
          <w:numId w:val="1001"/>
        </w:numPr>
        <w:pStyle w:val="Compact"/>
      </w:pPr>
      <w:r>
        <w:t xml:space="preserve">By accepting this invoice, the client acknowledges that the Banker has provided all services in a professional and competent manner, in accordance with the scope of work agreed upon for this Australia Brisbane engagement.</w:t>
      </w:r>
    </w:p>
    <w:p>
      <w:pPr>
        <w:numPr>
          <w:ilvl w:val="0"/>
          <w:numId w:val="1001"/>
        </w:numPr>
        <w:pStyle w:val="Compact"/>
      </w:pPr>
      <w:r>
        <w:t xml:space="preserve">For queries regarding this invoice, please contact the undersigned Banker at Brisbane Banker Group Pty Ltd, Level 12, 123 Creek Street, Brisbane City QLD 4000, Australia Brisbane, or via email at invoicing@brisbanebanker.com.au.</w:t>
      </w:r>
    </w:p>
    <w:bookmarkEnd w:id="23"/>
    <w:p>
      <w:pPr>
        <w:pStyle w:val="FirstParagraph"/>
      </w:pPr>
      <w:r>
        <w:rPr>
          <w:bCs/>
          <w:b/>
        </w:rPr>
        <w:t xml:space="preserve">BRISBANE BANKER GROUP PTY LTD</w:t>
      </w:r>
      <w:r>
        <w:t xml:space="preserve"> </w:t>
      </w:r>
      <w:r>
        <w:t xml:space="preserve">| ABN 48 123 456 789 | AFSL 001234</w:t>
      </w:r>
    </w:p>
    <w:p>
      <w:pPr>
        <w:pStyle w:val="BodyText"/>
      </w:pPr>
      <w:r>
        <w:t xml:space="preserve">Level 12, 123 Creek Street, Brisbane City, Queensland 4000, Australia Brisbane</w:t>
      </w:r>
    </w:p>
    <w:p>
      <w:pPr>
        <w:pStyle w:val="BodyText"/>
      </w:pPr>
      <w:r>
        <w:t xml:space="preserve">This invoice was generated electronically and is valid without a physical signature. For verification, contact the issuing Banker directly.</w:t>
      </w:r>
    </w:p>
    <w:p>
      <w:pPr>
        <w:pStyle w:val="BodyText"/>
      </w:pPr>
      <w:r>
        <w:t xml:space="preserve">© 2025 Brisbane Banker Group Pty Ltd. All rights reserved. |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Brisbane Banker Financial Services</dc:title>
  <dc:creator/>
  <dc:language>en-AU</dc:language>
  <cp:keywords/>
  <dcterms:created xsi:type="dcterms:W3CDTF">2026-10-10T08:37:46Z</dcterms:created>
  <dcterms:modified xsi:type="dcterms:W3CDTF">2026-10-10T08:37:46Z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