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0" w:name="X3877c5572e83d147e8f8dc2c3276c03bfb59e44"/>
    <w:p>
      <w:pPr>
        <w:pStyle w:val="Heading1"/>
      </w:pPr>
      <w:r>
        <w:t xml:space="preserve">Meridian Banker &amp; Financial Advisory Pty Ltd</w:t>
      </w:r>
    </w:p>
    <w:p>
      <w:pPr>
        <w:pStyle w:val="FirstParagraph"/>
      </w:pPr>
      <w:r>
        <w:t xml:space="preserve">ABN: 48 217 634 902</w:t>
      </w:r>
    </w:p>
    <w:p>
      <w:pPr>
        <w:pStyle w:val="BodyText"/>
      </w:pPr>
      <w:r>
        <w:t xml:space="preserve">Level 12, 333 Collins Street, Melbourne VIC 3000, Australia</w:t>
      </w:r>
    </w:p>
    <w:p>
      <w:pPr>
        <w:pStyle w:val="BodyText"/>
      </w:pPr>
      <w:r>
        <w:t xml:space="preserve">Phone: +61 3 9655 4200 | Email: billing@meridianbanker.com.au</w:t>
      </w:r>
    </w:p>
    <w:p>
      <w:pPr>
        <w:pStyle w:val="BodyText"/>
      </w:pPr>
      <w:r>
        <w:t xml:space="preserve">AFSL: 3847291 | ASIC: 604-218-773</w:t>
      </w:r>
    </w:p>
    <w:bookmarkEnd w:id="20"/>
    <w:bookmarkStart w:id="21" w:name="invoice"/>
    <w:p>
      <w:pPr>
        <w:pStyle w:val="Heading2"/>
      </w:pPr>
      <w:r>
        <w:t xml:space="preserve">INVOICE</w:t>
      </w:r>
    </w:p>
    <w:p>
      <w:pPr>
        <w:pStyle w:val="FirstParagraph"/>
      </w:pPr>
      <w:r>
        <w:t xml:space="preserve">Banker Services – Melbourne, Australia</w:t>
      </w:r>
    </w:p>
    <w:p>
      <w:pPr>
        <w:pStyle w:val="BodyText"/>
      </w:pPr>
      <w:r>
        <w:t xml:space="preserve">Invoice No: MBF-2025-04871</w:t>
      </w:r>
    </w:p>
    <w:p>
      <w:pPr>
        <w:pStyle w:val="BodyText"/>
      </w:pPr>
      <w:r>
        <w:t xml:space="preserve">TAX INVOICE</w:t>
      </w:r>
    </w:p>
    <w:bookmarkEnd w:id="21"/>
    <w:bookmarkStart w:id="22" w:name="bill-to"/>
    <w:p>
      <w:pPr>
        <w:pStyle w:val="Heading3"/>
      </w:pPr>
      <w:r>
        <w:t xml:space="preserve">Bill To</w:t>
      </w:r>
    </w:p>
    <w:p>
      <w:pPr>
        <w:pStyle w:val="FirstParagraph"/>
      </w:pPr>
      <w:r>
        <w:rPr>
          <w:bCs/>
          <w:b/>
        </w:rPr>
        <w:t xml:space="preserve">Harbourview Property Group Pty Ltd</w:t>
      </w:r>
    </w:p>
    <w:p>
      <w:pPr>
        <w:pStyle w:val="BodyText"/>
      </w:pPr>
      <w:r>
        <w:t xml:space="preserve">ABN: 52 903 441 287</w:t>
      </w:r>
    </w:p>
    <w:p>
      <w:pPr>
        <w:pStyle w:val="BodyText"/>
      </w:pPr>
      <w:r>
        <w:t xml:space="preserve">Suite 5, 180 Flinders Lane, Melbourne VIC 3000, Australia</w:t>
      </w:r>
    </w:p>
    <w:p>
      <w:pPr>
        <w:pStyle w:val="BodyText"/>
      </w:pPr>
      <w:r>
        <w:t xml:space="preserve">Attn: Mr. David Chen, Chief Financial Officer</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Payment Terms:</w:t>
      </w:r>
      <w:r>
        <w:t xml:space="preserve"> </w:t>
      </w:r>
      <w:r>
        <w:t xml:space="preserve">Net 30</w:t>
      </w:r>
    </w:p>
    <w:p>
      <w:pPr>
        <w:pStyle w:val="BodyText"/>
      </w:pPr>
      <w:r>
        <w:rPr>
          <w:bCs/>
          <w:b/>
        </w:rPr>
        <w:t xml:space="preserve">Service Period:</w:t>
      </w:r>
      <w:r>
        <w:t xml:space="preserve"> </w:t>
      </w:r>
      <w:r>
        <w:t xml:space="preserve">1 May 2025 – 31 May 2025</w:t>
      </w:r>
    </w:p>
    <w:bookmarkEnd w:id="23"/>
    <w:bookmarkStart w:id="24" w:name="banker-reference"/>
    <w:p>
      <w:pPr>
        <w:pStyle w:val="Heading3"/>
      </w:pPr>
      <w:r>
        <w:t xml:space="preserve">Banker Reference</w:t>
      </w:r>
    </w:p>
    <w:p>
      <w:pPr>
        <w:pStyle w:val="FirstParagraph"/>
      </w:pPr>
      <w:r>
        <w:rPr>
          <w:bCs/>
          <w:b/>
        </w:rPr>
        <w:t xml:space="preserve">Engagement Ref:</w:t>
      </w:r>
      <w:r>
        <w:t xml:space="preserve"> </w:t>
      </w:r>
      <w:r>
        <w:t xml:space="preserve">BKR-MEL-2025-091</w:t>
      </w:r>
    </w:p>
    <w:p>
      <w:pPr>
        <w:pStyle w:val="BodyText"/>
      </w:pPr>
      <w:r>
        <w:rPr>
          <w:bCs/>
          <w:b/>
        </w:rPr>
        <w:t xml:space="preserve">Banker Assigned:</w:t>
      </w:r>
      <w:r>
        <w:t xml:space="preserve"> </w:t>
      </w:r>
      <w:r>
        <w:t xml:space="preserve">Ms. Eleanor Whitfield, Senior Banker</w:t>
      </w:r>
    </w:p>
    <w:p>
      <w:pPr>
        <w:pStyle w:val="BodyText"/>
      </w:pPr>
      <w:r>
        <w:rPr>
          <w:bCs/>
          <w:b/>
        </w:rPr>
        <w:t xml:space="preserve">Service Location:</w:t>
      </w:r>
      <w:r>
        <w:t xml:space="preserve"> </w:t>
      </w:r>
      <w:r>
        <w:t xml:space="preserve">Melbourne CBD, Victoria, Australia</w:t>
      </w:r>
    </w:p>
    <w:p>
      <w:pPr>
        <w:pStyle w:val="BodyText"/>
      </w:pPr>
      <w:r>
        <w:rPr>
          <w:bCs/>
          <w:b/>
        </w:rPr>
        <w:t xml:space="preserve">Contract No:</w:t>
      </w:r>
      <w:r>
        <w:t xml:space="preserve"> </w:t>
      </w:r>
      <w:r>
        <w:t xml:space="preserve">CTR-2025-0034</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Senior Banker consultation on commercial loan restructuring for Melbourne CBD commercial property portfolio. Includes risk assessment, interest rate hedging strategy, and covenant compliance review under Australian Banking Association guidelines.</w:t>
            </w:r>
          </w:p>
        </w:tc>
        <w:tc>
          <w:tcPr/>
          <w:p>
            <w:pPr>
              <w:pStyle w:val="Compact"/>
              <w:jc w:val="left"/>
            </w:pPr>
            <w:r>
              <w:t xml:space="preserve">02 May 2025</w:t>
            </w:r>
          </w:p>
        </w:tc>
        <w:tc>
          <w:tcPr/>
          <w:p>
            <w:pPr>
              <w:pStyle w:val="Compact"/>
              <w:jc w:val="left"/>
            </w:pPr>
            <w:r>
              <w:t xml:space="preserve">6.5</w:t>
            </w:r>
          </w:p>
        </w:tc>
        <w:tc>
          <w:tcPr/>
          <w:p>
            <w:pPr>
              <w:pStyle w:val="Compact"/>
              <w:jc w:val="left"/>
            </w:pPr>
            <w:r>
              <w:t xml:space="preserve">$320.00</w:t>
            </w:r>
          </w:p>
        </w:tc>
        <w:tc>
          <w:tcPr/>
          <w:p>
            <w:pPr>
              <w:pStyle w:val="Compact"/>
              <w:jc w:val="left"/>
            </w:pPr>
            <w:r>
              <w:t xml:space="preserve">$2,080.00</w:t>
            </w:r>
          </w:p>
        </w:tc>
      </w:tr>
      <w:tr>
        <w:tc>
          <w:tcPr/>
          <w:p>
            <w:pPr>
              <w:pStyle w:val="Compact"/>
              <w:jc w:val="left"/>
            </w:pPr>
            <w:r>
              <w:t xml:space="preserve">2</w:t>
            </w:r>
          </w:p>
        </w:tc>
        <w:tc>
          <w:tcPr/>
          <w:p>
            <w:pPr>
              <w:pStyle w:val="Compact"/>
              <w:jc w:val="left"/>
            </w:pPr>
            <w:r>
              <w:t xml:space="preserve">Banker-led treasury management advisory session. Comprehensive review of cash flow forecasting, multi-currency account structures, and automated payment processing systems for the client's Melbourne-based operations. Delivered at Meridian Banker offices, Collins Street, Melbourne.</w:t>
            </w:r>
          </w:p>
        </w:tc>
        <w:tc>
          <w:tcPr/>
          <w:p>
            <w:pPr>
              <w:pStyle w:val="Compact"/>
              <w:jc w:val="left"/>
            </w:pPr>
            <w:r>
              <w:t xml:space="preserve">08 May 2025</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3</w:t>
            </w:r>
          </w:p>
        </w:tc>
        <w:tc>
          <w:tcPr/>
          <w:p>
            <w:pPr>
              <w:pStyle w:val="Compact"/>
              <w:jc w:val="left"/>
            </w:pPr>
            <w:r>
              <w:t xml:space="preserve">Preparation and submission of banker's certificate and financial solvency attestation required for the client's development approval application with the City of Melbourne Council. Includes verification of liquidity ratios and debt service coverage calculations in accordance with Australian Prudential Regulation Authority (APRA) standards.</w:t>
            </w:r>
          </w:p>
        </w:tc>
        <w:tc>
          <w:tcPr/>
          <w:p>
            <w:pPr>
              <w:pStyle w:val="Compact"/>
              <w:jc w:val="left"/>
            </w:pPr>
            <w:r>
              <w:t xml:space="preserve">12 May 2025</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4</w:t>
            </w:r>
          </w:p>
        </w:tc>
        <w:tc>
          <w:tcPr/>
          <w:p>
            <w:pPr>
              <w:pStyle w:val="Compact"/>
              <w:jc w:val="left"/>
            </w:pPr>
            <w:r>
              <w:t xml:space="preserve">Banker-to-banker negotiation and coordination with NAB, ANZ, and Commonwealth Bank regarding syndicated facility amendment. Facilitated virtual meeting with all lending institutions to restructure the $45 million term loan facility. All communications conducted in accordance with the Corporations Act 2001 (Cth) and Australian Securities and Investments Commission (ASIC) regulatory requirements.</w:t>
            </w:r>
          </w:p>
        </w:tc>
        <w:tc>
          <w:tcPr/>
          <w:p>
            <w:pPr>
              <w:pStyle w:val="Compact"/>
              <w:jc w:val="left"/>
            </w:pPr>
            <w:r>
              <w:t xml:space="preserve">19 May 2025</w:t>
            </w:r>
          </w:p>
        </w:tc>
        <w:tc>
          <w:tcPr/>
          <w:p>
            <w:pPr>
              <w:pStyle w:val="Compact"/>
              <w:jc w:val="left"/>
            </w:pPr>
            <w:r>
              <w:t xml:space="preserve">10.0</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Monthly banker's report compilation and delivery. Includes detailed analysis of the client's credit facility utilisation, interest expense reconciliation, foreign exchange exposure assessment for AUD/USD and AUD/CNY positions, and forward-looking liquidity projections for the Melbourne metropolitan market. Report delivered in both digital and hard copy format to the client's Flinders Lane office.</w:t>
            </w:r>
          </w:p>
        </w:tc>
        <w:tc>
          <w:tcPr/>
          <w:p>
            <w:pPr>
              <w:pStyle w:val="Compact"/>
              <w:jc w:val="left"/>
            </w:pPr>
            <w:r>
              <w:t xml:space="preserve">28 May 2025</w:t>
            </w:r>
          </w:p>
        </w:tc>
        <w:tc>
          <w:tcPr/>
          <w:p>
            <w:pPr>
              <w:pStyle w:val="Compact"/>
              <w:jc w:val="left"/>
            </w:pPr>
            <w:r>
              <w:t xml:space="preserve">5.5</w:t>
            </w:r>
          </w:p>
        </w:tc>
        <w:tc>
          <w:tcPr/>
          <w:p>
            <w:pPr>
              <w:pStyle w:val="Compact"/>
              <w:jc w:val="left"/>
            </w:pPr>
            <w:r>
              <w:t xml:space="preserve">$320.00</w:t>
            </w:r>
          </w:p>
        </w:tc>
        <w:tc>
          <w:tcPr/>
          <w:p>
            <w:pPr>
              <w:pStyle w:val="Compact"/>
              <w:jc w:val="left"/>
            </w:pPr>
            <w:r>
              <w:t xml:space="preserve">$1,760.00</w:t>
            </w:r>
          </w:p>
        </w:tc>
      </w:tr>
      <w:tr>
        <w:tc>
          <w:tcPr/>
          <w:p>
            <w:pPr>
              <w:pStyle w:val="Compact"/>
              <w:jc w:val="left"/>
            </w:pPr>
            <w:r>
              <w:t xml:space="preserve">6</w:t>
            </w:r>
          </w:p>
        </w:tc>
        <w:tc>
          <w:tcPr/>
          <w:p>
            <w:pPr>
              <w:pStyle w:val="Compact"/>
              <w:jc w:val="left"/>
            </w:pPr>
            <w:r>
              <w:t xml:space="preserve">Compliance and regulatory advisory. Banker conducted a full review of the client's adherence to Anti-Money Laundering and Counter-Terrorism Financing (AML/CTF) obligations under the AML/CTF Act 2006 (Cth). Provided written guidance on enhanced due diligence requirements for the client's international property acquisitions in the Melbourne market.</w:t>
            </w:r>
          </w:p>
        </w:tc>
        <w:tc>
          <w:tcPr/>
          <w:p>
            <w:pPr>
              <w:pStyle w:val="Compact"/>
              <w:jc w:val="left"/>
            </w:pPr>
            <w:r>
              <w:t xml:space="preserve">30 May 2025</w:t>
            </w:r>
          </w:p>
        </w:tc>
        <w:tc>
          <w:tcPr/>
          <w:p>
            <w:pPr>
              <w:pStyle w:val="Compact"/>
              <w:jc w:val="left"/>
            </w:pPr>
            <w:r>
              <w:t xml:space="preserve">3.5</w:t>
            </w:r>
          </w:p>
        </w:tc>
        <w:tc>
          <w:tcPr/>
          <w:p>
            <w:pPr>
              <w:pStyle w:val="Compact"/>
              <w:jc w:val="left"/>
            </w:pPr>
            <w:r>
              <w:t xml:space="preserve">$320.00</w:t>
            </w:r>
          </w:p>
        </w:tc>
        <w:tc>
          <w:tcPr/>
          <w:p>
            <w:pPr>
              <w:pStyle w:val="Compact"/>
              <w:jc w:val="left"/>
            </w:pPr>
            <w:r>
              <w:t xml:space="preserve">$1,120.00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$11,000.00</w:t>
            </w:r>
          </w:p>
        </w:tc>
      </w:tr>
      <w:tr>
        <w:tc>
          <w:tcPr/>
          <w:p>
            <w:pPr>
              <w:pStyle w:val="Compact"/>
              <w:jc w:val="left"/>
            </w:pPr>
            <w:r>
              <w:t xml:space="preserve">GST (10%) – Australian Taxation Office</w:t>
            </w:r>
          </w:p>
        </w:tc>
        <w:tc>
          <w:tcPr/>
          <w:p>
            <w:pPr>
              <w:pStyle w:val="Compact"/>
              <w:jc w:val="left"/>
            </w:pPr>
            <w:r>
              <w:t xml:space="preserve">$1,100.00</w:t>
            </w:r>
          </w:p>
        </w:tc>
      </w:tr>
      <w:tr>
        <w:tc>
          <w:tcPr/>
          <w:p>
            <w:pPr>
              <w:pStyle w:val="Compact"/>
              <w:jc w:val="left"/>
            </w:pPr>
            <w:r>
              <w:t xml:space="preserve">TOTAL AMOUNT DUE (AUD)</w:t>
            </w:r>
          </w:p>
        </w:tc>
        <w:tc>
          <w:tcPr/>
          <w:p>
            <w:pPr>
              <w:pStyle w:val="Compact"/>
              <w:jc w:val="left"/>
            </w:pPr>
            <w:r>
              <w:t xml:space="preserve">$12,100.00</w:t>
            </w:r>
          </w:p>
        </w:tc>
      </w:tr>
    </w:tbl>
    <w:bookmarkStart w:id="25" w:name="payment-instructions-australia-melbourne"/>
    <w:p>
      <w:pPr>
        <w:pStyle w:val="Heading3"/>
      </w:pPr>
      <w:r>
        <w:t xml:space="preserve">Payment Instructions – Australia Melbourne</w:t>
      </w:r>
    </w:p>
    <w:p>
      <w:pPr>
        <w:pStyle w:val="FirstParagraph"/>
      </w:pPr>
      <w:r>
        <w:t xml:space="preserve">Please remit payment of</w:t>
      </w:r>
      <w:r>
        <w:t xml:space="preserve"> </w:t>
      </w:r>
      <w:r>
        <w:rPr>
          <w:bCs/>
          <w:b/>
        </w:rPr>
        <w:t xml:space="preserve">AUD $12,100.00</w:t>
      </w:r>
      <w:r>
        <w:t xml:space="preserve"> </w:t>
      </w:r>
      <w:r>
        <w:t xml:space="preserve">within thirty (30) calendar days of the invoice date, no later than</w:t>
      </w:r>
      <w:r>
        <w:t xml:space="preserve"> </w:t>
      </w:r>
      <w:r>
        <w:rPr>
          <w:bCs/>
          <w:b/>
        </w:rPr>
        <w:t xml:space="preserve">14 July 2025</w:t>
      </w:r>
      <w:r>
        <w:t xml:space="preserve">. Payment may be made via Electronic Funds Transfer (EFT) to the following account:</w:t>
      </w:r>
    </w:p>
    <w:p>
      <w:pPr>
        <w:numPr>
          <w:ilvl w:val="0"/>
          <w:numId w:val="1001"/>
        </w:numPr>
        <w:pStyle w:val="Compact"/>
      </w:pPr>
      <w:r>
        <w:rPr>
          <w:bCs/>
          <w:b/>
        </w:rPr>
        <w:t xml:space="preserve">Bank:</w:t>
      </w:r>
      <w:r>
        <w:t xml:space="preserve"> </w:t>
      </w:r>
      <w:r>
        <w:t xml:space="preserve">Australia and New Zealand Banking Group (ANZ)</w:t>
      </w:r>
    </w:p>
    <w:p>
      <w:pPr>
        <w:numPr>
          <w:ilvl w:val="0"/>
          <w:numId w:val="1001"/>
        </w:numPr>
        <w:pStyle w:val="Compact"/>
      </w:pPr>
      <w:r>
        <w:rPr>
          <w:bCs/>
          <w:b/>
        </w:rPr>
        <w:t xml:space="preserve">Account Name:</w:t>
      </w:r>
      <w:r>
        <w:t xml:space="preserve"> </w:t>
      </w:r>
      <w:r>
        <w:t xml:space="preserve">Meridian Banker &amp; Financial Advisory Pty Ltd</w:t>
      </w:r>
    </w:p>
    <w:p>
      <w:pPr>
        <w:numPr>
          <w:ilvl w:val="0"/>
          <w:numId w:val="1001"/>
        </w:numPr>
        <w:pStyle w:val="Compact"/>
      </w:pPr>
      <w:r>
        <w:rPr>
          <w:bCs/>
          <w:b/>
        </w:rPr>
        <w:t xml:space="preserve">BSB:</w:t>
      </w:r>
      <w:r>
        <w:t xml:space="preserve"> </w:t>
      </w:r>
      <w:r>
        <w:t xml:space="preserve">012-000</w:t>
      </w:r>
    </w:p>
    <w:p>
      <w:pPr>
        <w:numPr>
          <w:ilvl w:val="0"/>
          <w:numId w:val="1001"/>
        </w:numPr>
        <w:pStyle w:val="Compact"/>
      </w:pPr>
      <w:r>
        <w:rPr>
          <w:bCs/>
          <w:b/>
        </w:rPr>
        <w:t xml:space="preserve">Account Number:</w:t>
      </w:r>
      <w:r>
        <w:t xml:space="preserve"> </w:t>
      </w:r>
      <w:r>
        <w:t xml:space="preserve">1234 5678</w:t>
      </w:r>
    </w:p>
    <w:p>
      <w:pPr>
        <w:numPr>
          <w:ilvl w:val="0"/>
          <w:numId w:val="1001"/>
        </w:numPr>
        <w:pStyle w:val="Compact"/>
      </w:pPr>
      <w:r>
        <w:rPr>
          <w:bCs/>
          <w:b/>
        </w:rPr>
        <w:t xml:space="preserve">SWIFT/BIC:</w:t>
      </w:r>
      <w:r>
        <w:t xml:space="preserve"> </w:t>
      </w:r>
      <w:r>
        <w:t xml:space="preserve">ANZBAU3M</w:t>
      </w:r>
    </w:p>
    <w:p>
      <w:pPr>
        <w:numPr>
          <w:ilvl w:val="0"/>
          <w:numId w:val="1001"/>
        </w:numPr>
        <w:pStyle w:val="Compact"/>
      </w:pPr>
      <w:r>
        <w:rPr>
          <w:bCs/>
          <w:b/>
        </w:rPr>
        <w:t xml:space="preserve">Reference:</w:t>
      </w:r>
      <w:r>
        <w:t xml:space="preserve"> </w:t>
      </w:r>
      <w:r>
        <w:t xml:space="preserve">MBF-2025-04871</w:t>
      </w:r>
    </w:p>
    <w:p>
      <w:pPr>
        <w:pStyle w:val="FirstParagraph"/>
      </w:pPr>
      <w:r>
        <w:t xml:space="preserve">Alternatively, payment may be made by cheque payable to "Meridian Banker &amp; Financial Advisory Pty Ltd" and posted to Level 12, 333 Collins Street, Melbourne VIC 3000, Australia. Please note that cheques are subject to clearing time and the due date remains unchanged.</w:t>
      </w:r>
    </w:p>
    <w:bookmarkEnd w:id="25"/>
    <w:bookmarkStart w:id="26" w:name="terms-conditions-bankers-declaration"/>
    <w:p>
      <w:pPr>
        <w:pStyle w:val="Heading3"/>
      </w:pPr>
      <w:r>
        <w:t xml:space="preserve">Terms, Conditions &amp; Banker's Declaration</w:t>
      </w:r>
    </w:p>
    <w:p>
      <w:pPr>
        <w:pStyle w:val="FirstParagraph"/>
      </w:pPr>
      <w:r>
        <w:t xml:space="preserve">This invoice is issued by Meridian Banker &amp; Financial Advisory Pty Ltd, a registered financial services provider operating in Melbourne, Victoria, Australia. All banker services rendered under this engagement have been performed in accordance with the Australian Financial Services Licence (AFSL) held by the firm and in compliance with all applicable Australian banking and financial regulations.</w:t>
      </w:r>
    </w:p>
    <w:p>
      <w:pPr>
        <w:pStyle w:val="BodyText"/>
      </w:pPr>
      <w:r>
        <w:t xml:space="preserve">The banker services described herein constitute professional financial advisory and banking coordination services. The Senior Banker assigned to this engagement, Ms. Eleanor Whitfield, holds a Bachelor of Commerce (Finance) from the University of Melbourne and is a Chartered Banker (C.Bank) with the Australian Institute of Bankers (AIB).</w:t>
      </w:r>
    </w:p>
    <w:p>
      <w:pPr>
        <w:pStyle w:val="BodyText"/>
      </w:pPr>
      <w:r>
        <w:t xml:space="preserve">Overdue amounts will attract interest at the rate of 1.5% per month (18% per annum) in accordance with the Australian Consumer Law and the terms of the master services agreement dated 1 January 2025. This invoice constitutes a Tax Invoice as defined under the A New Tax System (Goods and Services Tax) Act 1999 (Cth) and is valid for the purposes of claiming Goods and Services Tax (GST) credits with the Australian Taxation Office (ATO).</w:t>
      </w:r>
    </w:p>
    <w:p>
      <w:pPr>
        <w:pStyle w:val="BodyText"/>
      </w:pPr>
      <w:r>
        <w:t xml:space="preserve">All disputes arising from this invoice or the associated banker services shall be resolved in accordance with the laws of the State of Victoria, Australia, and the jurisdiction of the courts of Melbourne shall apply. The parties acknowledge that this engagement is governed by the Australian Consumer Law (Schedule 2, Corporations Act 2001) and the Banking Code of Ethics issued by the Australian Banking Association.</w:t>
      </w:r>
    </w:p>
    <w:p>
      <w:pPr>
        <w:pStyle w:val="BodyText"/>
      </w:pPr>
      <w:r>
        <w:t xml:space="preserve">By accepting this invoice, the client acknowledges receipt of the banker's services as described and agrees to the payment terms outlined above. This document is valid for a period of seven (7) years in accordance with Australian record-keeping requirements under the Taxation Administration Act 1953 (Cth).</w:t>
      </w:r>
    </w:p>
    <w:bookmarkEnd w:id="26"/>
    <w:p>
      <w:pPr>
        <w:pStyle w:val="BodyText"/>
      </w:pPr>
      <w:r>
        <w:t xml:space="preserve">Meridian Banker &amp; Financial Advisory Pty Ltd | ABN 48 217 634 902 | AFSL 3847291</w:t>
      </w:r>
    </w:p>
    <w:p>
      <w:pPr>
        <w:pStyle w:val="BodyText"/>
      </w:pPr>
      <w:r>
        <w:t xml:space="preserve">Level 12, 333 Collins Street, Melbourne VIC 3000, Australia</w:t>
      </w:r>
    </w:p>
    <w:p>
      <w:pPr>
        <w:pStyle w:val="BodyText"/>
      </w:pPr>
      <w:r>
        <w:t xml:space="preserve">This invoice was generated on 14 June 2025. For queries regarding this invoice or the banker services provided, please contact our Melbourne billing office at +61 3 9655 4200 or billing@meridianbanker.com.au.</w:t>
      </w:r>
    </w:p>
    <w:p>
      <w:pPr>
        <w:pStyle w:val="BodyText"/>
      </w:pPr>
      <w:r>
        <w:t xml:space="preserve">Thank you for engaging our Melbourne-based banker services team. We value your continued partnership and look forward to supporting your financial objectives in Australia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Melbourne, Australia</dc:title>
  <dc:creator/>
  <dc:language>en-AU</dc:language>
  <cp:keywords/>
  <dcterms:created xsi:type="dcterms:W3CDTF">2026-10-10T07:23:43Z</dcterms:created>
  <dcterms:modified xsi:type="dcterms:W3CDTF">2026-10-10T07:23:43Z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