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brussels-financial-advisory-group"/>
    <w:p>
      <w:pPr>
        <w:pStyle w:val="Heading1"/>
      </w:pPr>
      <w:r>
        <w:t xml:space="preserve">Brussels Financial Advisory Group</w:t>
      </w:r>
    </w:p>
    <w:p>
      <w:pPr>
        <w:pStyle w:val="FirstParagraph"/>
      </w:pPr>
      <w:r>
        <w:t xml:space="preserve">Chartered Banker &amp; Financial Services Provider</w:t>
      </w:r>
    </w:p>
    <w:p>
      <w:pPr>
        <w:pStyle w:val="BodyText"/>
      </w:pPr>
      <w:r>
        <w:t xml:space="preserve">12 Rue de la Loi, 1040 Brussels, Belgium</w:t>
      </w:r>
    </w:p>
    <w:p>
      <w:pPr>
        <w:pStyle w:val="BodyText"/>
      </w:pPr>
      <w:r>
        <w:t xml:space="preserve">Tel: +32 2 555 0142 | Email: invoicing@brusselsfinancial.be</w:t>
      </w:r>
    </w:p>
    <w:p>
      <w:pPr>
        <w:pStyle w:val="BodyText"/>
      </w:pPr>
      <w:r>
        <w:t xml:space="preserve">VAT No: BE 0765.432.109</w:t>
      </w:r>
    </w:p>
    <w:p>
      <w:pPr>
        <w:pStyle w:val="BodyText"/>
      </w:pPr>
      <w:r>
        <w:t xml:space="preserve">Bank Account: BE68 5390 0754 7034</w:t>
      </w:r>
    </w:p>
    <w:bookmarkEnd w:id="20"/>
    <w:bookmarkStart w:id="21" w:name="invoice"/>
    <w:p>
      <w:pPr>
        <w:pStyle w:val="Heading2"/>
      </w:pPr>
      <w:r>
        <w:t xml:space="preserve">INVOICE</w:t>
      </w:r>
    </w:p>
    <w:p>
      <w:pPr>
        <w:pStyle w:val="FirstParagraph"/>
      </w:pPr>
      <w:r>
        <w:t xml:space="preserve">Invoice No: BFA-2025-00487</w:t>
      </w:r>
    </w:p>
    <w:p>
      <w:pPr>
        <w:pStyle w:val="BodyText"/>
      </w:pPr>
      <w:r>
        <w:t xml:space="preserve">Date of Issue: 15 June 2025</w:t>
      </w:r>
    </w:p>
    <w:p>
      <w:pPr>
        <w:pStyle w:val="BodyText"/>
      </w:pPr>
      <w:r>
        <w:t xml:space="preserve">Due Date: 15 July 2025</w:t>
      </w:r>
    </w:p>
    <w:p>
      <w:pPr>
        <w:pStyle w:val="BodyText"/>
      </w:pPr>
      <w:r>
        <w:t xml:space="preserve">Reference: BKR-2025-Q2-0091</w:t>
      </w:r>
    </w:p>
    <w:bookmarkEnd w:id="21"/>
    <w:bookmarkStart w:id="22" w:name="billed-to"/>
    <w:p>
      <w:pPr>
        <w:pStyle w:val="Heading3"/>
      </w:pPr>
      <w:r>
        <w:t xml:space="preserve">Billed To</w:t>
      </w:r>
    </w:p>
    <w:p>
      <w:pPr>
        <w:pStyle w:val="FirstParagraph"/>
      </w:pPr>
      <w:r>
        <w:rPr>
          <w:bCs/>
          <w:b/>
        </w:rPr>
        <w:t xml:space="preserve">Meridian Corporate Holdings S.A.</w:t>
      </w:r>
    </w:p>
    <w:p>
      <w:pPr>
        <w:pStyle w:val="BodyText"/>
      </w:pPr>
      <w:r>
        <w:t xml:space="preserve">Attn: Mr. Jean-Pierre Van den Berghe</w:t>
      </w:r>
    </w:p>
    <w:p>
      <w:pPr>
        <w:pStyle w:val="BodyText"/>
      </w:pPr>
      <w:r>
        <w:t xml:space="preserve">45 Avenue Louise, 1050 Brussels, Belgium</w:t>
      </w:r>
    </w:p>
    <w:p>
      <w:pPr>
        <w:pStyle w:val="BodyText"/>
      </w:pPr>
      <w:r>
        <w:t xml:space="preserve">VAT No: BE 0812.567.234</w:t>
      </w:r>
    </w:p>
    <w:p>
      <w:pPr>
        <w:pStyle w:val="BodyText"/>
      </w:pPr>
      <w:r>
        <w:t xml:space="preserve">Client Account: C-2024-1187</w:t>
      </w:r>
    </w:p>
    <w:bookmarkEnd w:id="22"/>
    <w:bookmarkStart w:id="23" w:name="prepared-by"/>
    <w:p>
      <w:pPr>
        <w:pStyle w:val="Heading3"/>
      </w:pPr>
      <w:r>
        <w:t xml:space="preserve">Prepared By</w:t>
      </w:r>
    </w:p>
    <w:p>
      <w:pPr>
        <w:pStyle w:val="FirstParagraph"/>
      </w:pPr>
      <w:r>
        <w:rPr>
          <w:bCs/>
          <w:b/>
        </w:rPr>
        <w:t xml:space="preserve">Mr. Alexander De Smet</w:t>
      </w:r>
    </w:p>
    <w:p>
      <w:pPr>
        <w:pStyle w:val="BodyText"/>
      </w:pPr>
      <w:r>
        <w:t xml:space="preserve">Senior Banker &amp; Portfolio Manager</w:t>
      </w:r>
    </w:p>
    <w:p>
      <w:pPr>
        <w:pStyle w:val="BodyText"/>
      </w:pPr>
      <w:r>
        <w:t xml:space="preserve">Brussels Financial Advisory Group</w:t>
      </w:r>
    </w:p>
    <w:p>
      <w:pPr>
        <w:pStyle w:val="BodyText"/>
      </w:pPr>
      <w:r>
        <w:t xml:space="preserve">Licensed by the National Bank of Belgium</w:t>
      </w:r>
    </w:p>
    <w:p>
      <w:pPr>
        <w:pStyle w:val="BodyText"/>
      </w:pPr>
      <w:r>
        <w:t xml:space="preserve">License No: NBB-2019-0447</w:t>
      </w:r>
    </w:p>
    <w:bookmarkEnd w:id="23"/>
    <w:bookmarkStart w:id="24" w:name="service-period"/>
    <w:p>
      <w:pPr>
        <w:pStyle w:val="Heading3"/>
      </w:pPr>
      <w:r>
        <w:t xml:space="preserve">Service Period</w:t>
      </w:r>
    </w:p>
    <w:p>
      <w:pPr>
        <w:pStyle w:val="FirstParagraph"/>
      </w:pPr>
      <w:r>
        <w:t xml:space="preserve">01 April 2025 – 30 June 2025</w:t>
      </w:r>
    </w:p>
    <w:p>
      <w:pPr>
        <w:pStyle w:val="BodyText"/>
      </w:pPr>
      <w:r>
        <w:t xml:space="preserve">Quarterly Banker Retainer</w:t>
      </w:r>
    </w:p>
    <w:p>
      <w:pPr>
        <w:pStyle w:val="BodyText"/>
      </w:pPr>
      <w:r>
        <w:t xml:space="preserve">Location: Brussels, Belgium</w:t>
      </w:r>
    </w:p>
    <w:p>
      <w:pPr>
        <w:pStyle w:val="BodyText"/>
      </w:pPr>
      <w:r>
        <w:t xml:space="preserve">Engagement: Ongoing Advisory</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Banker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1</w:t>
            </w:r>
          </w:p>
        </w:tc>
        <w:tc>
          <w:tcPr/>
          <w:p>
            <w:pPr>
              <w:pStyle w:val="Compact"/>
              <w:jc w:val="left"/>
            </w:pPr>
            <w:r>
              <w:t xml:space="preserve">Quarterly portfolio review and strategic asset allocation consultation conducted by the assigned Banker at the Brussels Financial Advisory Group office in Brussels, Belgium. Includes performance analysis of fixed-income and equity holdings.</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w:t>
            </w:r>
          </w:p>
        </w:tc>
        <w:tc>
          <w:tcPr/>
          <w:p>
            <w:pPr>
              <w:pStyle w:val="Compact"/>
              <w:jc w:val="left"/>
            </w:pPr>
            <w:r>
              <w:t xml:space="preserve">21%</w:t>
            </w:r>
          </w:p>
        </w:tc>
      </w:tr>
      <w:tr>
        <w:tc>
          <w:tcPr/>
          <w:p>
            <w:pPr>
              <w:pStyle w:val="Compact"/>
              <w:jc w:val="left"/>
            </w:pPr>
            <w:r>
              <w:t xml:space="preserve">2</w:t>
            </w:r>
          </w:p>
        </w:tc>
        <w:tc>
          <w:tcPr/>
          <w:p>
            <w:pPr>
              <w:pStyle w:val="Compact"/>
              <w:jc w:val="left"/>
            </w:pPr>
            <w:r>
              <w:t xml:space="preserve">Corporate treasury management advisory. The Banker provided guidance on cash flow optimisation, intercompany lending structures, and foreign exchange hedging strategies for the client's operations across Belgium and the European Union.</w:t>
            </w:r>
          </w:p>
        </w:tc>
        <w:tc>
          <w:tcPr/>
          <w:p>
            <w:pPr>
              <w:pStyle w:val="Compact"/>
              <w:jc w:val="left"/>
            </w:pPr>
            <w:r>
              <w:t xml:space="preserve">185.00</w:t>
            </w:r>
          </w:p>
        </w:tc>
        <w:tc>
          <w:tcPr/>
          <w:p>
            <w:pPr>
              <w:pStyle w:val="Compact"/>
              <w:jc w:val="left"/>
            </w:pPr>
            <w:r>
              <w:t xml:space="preserve">8.5</w:t>
            </w:r>
          </w:p>
        </w:tc>
        <w:tc>
          <w:tcPr/>
          <w:p>
            <w:pPr>
              <w:pStyle w:val="Compact"/>
              <w:jc w:val="left"/>
            </w:pPr>
            <w:r>
              <w:t xml:space="preserve">1,572.50</w:t>
            </w:r>
          </w:p>
        </w:tc>
        <w:tc>
          <w:tcPr/>
          <w:p>
            <w:pPr>
              <w:pStyle w:val="Compact"/>
              <w:jc w:val="left"/>
            </w:pPr>
            <w:r>
              <w:t xml:space="preserve">21%</w:t>
            </w:r>
          </w:p>
        </w:tc>
      </w:tr>
      <w:tr>
        <w:tc>
          <w:tcPr/>
          <w:p>
            <w:pPr>
              <w:pStyle w:val="Compact"/>
              <w:jc w:val="left"/>
            </w:pPr>
            <w:r>
              <w:t xml:space="preserve">3</w:t>
            </w:r>
          </w:p>
        </w:tc>
        <w:tc>
          <w:tcPr/>
          <w:p>
            <w:pPr>
              <w:pStyle w:val="Compact"/>
              <w:jc w:val="left"/>
            </w:pPr>
            <w:r>
              <w:t xml:space="preserve">Regulatory compliance review in accordance with Belgian financial legislation (Code de droit économique, Book V) and European Banking Authority directives. The Banker assessed the client's adherence to anti-money laundering obligations as required by the Belgian Financial Services and Markets Authority (FSMA).</w:t>
            </w:r>
          </w:p>
        </w:tc>
        <w:tc>
          <w:tcPr/>
          <w:p>
            <w:pPr>
              <w:pStyle w:val="Compact"/>
              <w:jc w:val="left"/>
            </w:pPr>
            <w:r>
              <w:t xml:space="preserve">210.00</w:t>
            </w:r>
          </w:p>
        </w:tc>
        <w:tc>
          <w:tcPr/>
          <w:p>
            <w:pPr>
              <w:pStyle w:val="Compact"/>
              <w:jc w:val="left"/>
            </w:pPr>
            <w:r>
              <w:t xml:space="preserve">6.0</w:t>
            </w:r>
          </w:p>
        </w:tc>
        <w:tc>
          <w:tcPr/>
          <w:p>
            <w:pPr>
              <w:pStyle w:val="Compact"/>
              <w:jc w:val="left"/>
            </w:pPr>
            <w:r>
              <w:t xml:space="preserve">1,260.00</w:t>
            </w:r>
          </w:p>
        </w:tc>
        <w:tc>
          <w:tcPr/>
          <w:p>
            <w:pPr>
              <w:pStyle w:val="Compact"/>
              <w:jc w:val="left"/>
            </w:pPr>
            <w:r>
              <w:t xml:space="preserve">21%</w:t>
            </w:r>
          </w:p>
        </w:tc>
      </w:tr>
      <w:tr>
        <w:tc>
          <w:tcPr/>
          <w:p>
            <w:pPr>
              <w:pStyle w:val="Compact"/>
              <w:jc w:val="left"/>
            </w:pPr>
            <w:r>
              <w:t xml:space="preserve">4</w:t>
            </w:r>
          </w:p>
        </w:tc>
        <w:tc>
          <w:tcPr/>
          <w:p>
            <w:pPr>
              <w:pStyle w:val="Compact"/>
              <w:jc w:val="left"/>
            </w:pPr>
            <w:r>
              <w:t xml:space="preserve">Preparation and submission of quarterly financial reporting to the client's board of directors. The Banker compiled balance sheet summaries, liquidity position reports, and risk exposure analyses specific to the Brussels, Belgium market conditions.</w:t>
            </w:r>
          </w:p>
        </w:tc>
        <w:tc>
          <w:tcPr/>
          <w:p>
            <w:pPr>
              <w:pStyle w:val="Compact"/>
              <w:jc w:val="left"/>
            </w:pPr>
            <w:r>
              <w:t xml:space="preserve">165.00</w:t>
            </w:r>
          </w:p>
        </w:tc>
        <w:tc>
          <w:tcPr/>
          <w:p>
            <w:pPr>
              <w:pStyle w:val="Compact"/>
              <w:jc w:val="left"/>
            </w:pPr>
            <w:r>
              <w:t xml:space="preserve">5.5</w:t>
            </w:r>
          </w:p>
        </w:tc>
        <w:tc>
          <w:tcPr/>
          <w:p>
            <w:pPr>
              <w:pStyle w:val="Compact"/>
              <w:jc w:val="left"/>
            </w:pPr>
            <w:r>
              <w:t xml:space="preserve">907.50</w:t>
            </w:r>
          </w:p>
        </w:tc>
        <w:tc>
          <w:tcPr/>
          <w:p>
            <w:pPr>
              <w:pStyle w:val="Compact"/>
              <w:jc w:val="left"/>
            </w:pPr>
            <w:r>
              <w:t xml:space="preserve">21%</w:t>
            </w:r>
          </w:p>
        </w:tc>
      </w:tr>
      <w:tr>
        <w:tc>
          <w:tcPr/>
          <w:p>
            <w:pPr>
              <w:pStyle w:val="Compact"/>
              <w:jc w:val="left"/>
            </w:pPr>
            <w:r>
              <w:t xml:space="preserve">5</w:t>
            </w:r>
          </w:p>
        </w:tc>
        <w:tc>
          <w:tcPr/>
          <w:p>
            <w:pPr>
              <w:pStyle w:val="Compact"/>
              <w:jc w:val="left"/>
            </w:pPr>
            <w:r>
              <w:t xml:space="preserve">Ad-hoc consultation on a proposed acquisition of a commercial property in the European Quarter of Brussels. The Banker evaluated financing options, interest rate environments, and projected return on investment under current Belgian tax regulations.</w:t>
            </w:r>
          </w:p>
        </w:tc>
        <w:tc>
          <w:tcPr/>
          <w:p>
            <w:pPr>
              <w:pStyle w:val="Compact"/>
              <w:jc w:val="left"/>
            </w:pPr>
            <w:r>
              <w:t xml:space="preserve">210.00</w:t>
            </w:r>
          </w:p>
        </w:tc>
        <w:tc>
          <w:tcPr/>
          <w:p>
            <w:pPr>
              <w:pStyle w:val="Compact"/>
              <w:jc w:val="left"/>
            </w:pPr>
            <w:r>
              <w:t xml:space="preserve">4.0</w:t>
            </w:r>
          </w:p>
        </w:tc>
        <w:tc>
          <w:tcPr/>
          <w:p>
            <w:pPr>
              <w:pStyle w:val="Compact"/>
              <w:jc w:val="left"/>
            </w:pPr>
            <w:r>
              <w:t xml:space="preserve">840.00</w:t>
            </w:r>
          </w:p>
        </w:tc>
        <w:tc>
          <w:tcPr/>
          <w:p>
            <w:pPr>
              <w:pStyle w:val="Compact"/>
              <w:jc w:val="left"/>
            </w:pPr>
            <w:r>
              <w:t xml:space="preserve">21%</w:t>
            </w:r>
          </w:p>
        </w:tc>
      </w:tr>
      <w:tr>
        <w:tc>
          <w:tcPr/>
          <w:p>
            <w:pPr>
              <w:pStyle w:val="Compact"/>
              <w:jc w:val="left"/>
            </w:pPr>
            <w:r>
              <w:t xml:space="preserve">6</w:t>
            </w:r>
          </w:p>
        </w:tc>
        <w:tc>
          <w:tcPr/>
          <w:p>
            <w:pPr>
              <w:pStyle w:val="Compact"/>
              <w:jc w:val="left"/>
            </w:pPr>
            <w:r>
              <w:t xml:space="preserve">Administrative and correspondence services. The Banker managed ongoing communication with the client's primary banking institutions in Brussels, Belgium, including the National Bank of Belgium and two commercial banks, ensuring all account documentation and transaction confirmations were processed within the agreed service-level timeframe.</w:t>
            </w:r>
          </w:p>
        </w:tc>
        <w:tc>
          <w:tcPr/>
          <w:p>
            <w:pPr>
              <w:pStyle w:val="Compact"/>
              <w:jc w:val="left"/>
            </w:pPr>
            <w:r>
              <w:t xml:space="preserve">95.00</w:t>
            </w:r>
          </w:p>
        </w:tc>
        <w:tc>
          <w:tcPr/>
          <w:p>
            <w:pPr>
              <w:pStyle w:val="Compact"/>
              <w:jc w:val="left"/>
            </w:pPr>
            <w:r>
              <w:t xml:space="preserve">3.0</w:t>
            </w:r>
          </w:p>
        </w:tc>
        <w:tc>
          <w:tcPr/>
          <w:p>
            <w:pPr>
              <w:pStyle w:val="Compact"/>
              <w:jc w:val="left"/>
            </w:pPr>
            <w:r>
              <w:t xml:space="preserve">285.00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rPr>
                <w:bCs/>
                <w:b/>
              </w:rPr>
              <w:t xml:space="preserve">7,085.00 EUR</w:t>
            </w:r>
          </w:p>
        </w:tc>
      </w:tr>
      <w:tr>
        <w:tc>
          <w:tcPr/>
          <w:p>
            <w:pPr>
              <w:pStyle w:val="Compact"/>
              <w:jc w:val="left"/>
            </w:pPr>
            <w:r>
              <w:t xml:space="preserve">VAT @ 21% (Belgian Standard Rate)</w:t>
            </w:r>
          </w:p>
        </w:tc>
        <w:tc>
          <w:tcPr/>
          <w:p>
            <w:pPr>
              <w:pStyle w:val="Compact"/>
              <w:jc w:val="right"/>
            </w:pPr>
            <w:r>
              <w:rPr>
                <w:bCs/>
                <w:b/>
              </w:rPr>
              <w:t xml:space="preserve">1,487.85 EUR</w:t>
            </w:r>
          </w:p>
        </w:tc>
      </w:tr>
      <w:tr>
        <w:tc>
          <w:tcPr/>
          <w:p>
            <w:pPr>
              <w:pStyle w:val="Compact"/>
              <w:jc w:val="left"/>
            </w:pPr>
            <w:r>
              <w:t xml:space="preserve">Payment in Advance (Retainer Credit)</w:t>
            </w:r>
          </w:p>
        </w:tc>
        <w:tc>
          <w:tcPr/>
          <w:p>
            <w:pPr>
              <w:pStyle w:val="Compact"/>
              <w:jc w:val="right"/>
            </w:pPr>
            <w:r>
              <w:rPr>
                <w:bCs/>
                <w:b/>
              </w:rPr>
              <w:t xml:space="preserve">-1,500.00 EUR</w:t>
            </w:r>
          </w:p>
        </w:tc>
      </w:tr>
      <w:tr>
        <w:tc>
          <w:tcPr/>
          <w:p>
            <w:pPr>
              <w:pStyle w:val="Compact"/>
              <w:jc w:val="left"/>
            </w:pPr>
            <w:r>
              <w:t xml:space="preserve">Grand Total Due</w:t>
            </w:r>
          </w:p>
        </w:tc>
        <w:tc>
          <w:tcPr/>
          <w:p>
            <w:pPr>
              <w:pStyle w:val="Compact"/>
              <w:jc w:val="right"/>
            </w:pPr>
            <w:r>
              <w:t xml:space="preserve">7,072.85 EUR</w:t>
            </w:r>
          </w:p>
        </w:tc>
      </w:tr>
    </w:tbl>
    <w:bookmarkStart w:id="25" w:name="payment-terms-conditions"/>
    <w:p>
      <w:pPr>
        <w:pStyle w:val="Heading3"/>
      </w:pPr>
      <w:r>
        <w:t xml:space="preserve">Payment Terms &amp; Conditions</w:t>
      </w:r>
    </w:p>
    <w:p>
      <w:pPr>
        <w:pStyle w:val="FirstParagraph"/>
      </w:pPr>
      <w:r>
        <w:t xml:space="preserve">This Invoice must be settled in full within thirty (30) calendar days from the date of issue, no later than 15 July 2025. Payment is to be made via bank transfer to the account details specified in the header of this Invoice. The Banker at Brussels Financial Advisory Group accepts payments in EUR only. Please reference Invoice number BFA-2025-00487 in the transfer remarks.</w:t>
      </w:r>
    </w:p>
    <w:p>
      <w:pPr>
        <w:pStyle w:val="BodyText"/>
      </w:pPr>
      <w:r>
        <w:t xml:space="preserve">In the event of late payment, interest at the rate prescribed by the Belgian Code of Economic Law (Article 5:30) shall apply from the day following the due date. The Banker reserves the right to suspend ongoing advisory services in Brussels, Belgium, until all outstanding balances on this and any prior Invoice have been received in full.</w:t>
      </w:r>
    </w:p>
    <w:p>
      <w:pPr>
        <w:pStyle w:val="BodyText"/>
      </w:pPr>
      <w:r>
        <w:t xml:space="preserve">All services rendered by the Banker are governed by the professional engagement agreement dated 12 January 2024, executed in Brussels, Belgium, and are subject to the professional liability insurance policy held by Brussels Financial Advisory Group with the insurer AXA Belgium (Policy No: AXA-BE-2024-88231).</w:t>
      </w:r>
    </w:p>
    <w:bookmarkEnd w:id="25"/>
    <w:bookmarkStart w:id="26" w:name="additional-notes"/>
    <w:p>
      <w:pPr>
        <w:pStyle w:val="Heading3"/>
      </w:pPr>
      <w:r>
        <w:t xml:space="preserve">Additional Notes</w:t>
      </w:r>
    </w:p>
    <w:p>
      <w:pPr>
        <w:pStyle w:val="FirstParagraph"/>
      </w:pPr>
      <w:r>
        <w:t xml:space="preserve">This Invoice has been prepared in accordance with the Belgian VAT Code (Code TVA) and the requirements of the Belgian Federal Public Service Finance. The Banker confirms that all services described herein were performed in the capacity of a licensed financial professional registered with the FSMA and operating within the jurisdiction of Brussels, Belgium.</w:t>
      </w:r>
    </w:p>
    <w:p>
      <w:pPr>
        <w:pStyle w:val="BodyText"/>
      </w:pPr>
      <w:r>
        <w:t xml:space="preserve">The client acknowledges receipt of this Invoice and agrees that the services rendered by the Banker during the period 01 April 2025 to 30 June 2025 were satisfactory and completed to the professional standard expected under the engagement terms. Any disputes regarding the charges listed on this Invoice must be raised in writing within fourteen (14) days of the date of issue, addressed to the undersigned Banker at the Brussels, Belgium office.</w:t>
      </w:r>
    </w:p>
    <w:p>
      <w:pPr>
        <w:pStyle w:val="BodyText"/>
      </w:pPr>
      <w:r>
        <w:t xml:space="preserve">Brussels Financial Advisory Group is a registered entity in the Belgian Crossroads Bank for Enterprises (KBO/CBE) under number 0765.432.109. All financial data contained in this Invoice is confidential and intended solely for the named client. Unauthorised distribution of this Invoice document is prohibited under Belgian data protection law (GDPR and the Belgian Privacy Act of 30 July 2018).</w:t>
      </w:r>
    </w:p>
    <w:bookmarkEnd w:id="26"/>
    <w:p>
      <w:pPr>
        <w:pStyle w:val="BodyText"/>
      </w:pPr>
      <w:r>
        <w:rPr>
          <w:bCs/>
          <w:b/>
        </w:rPr>
        <w:t xml:space="preserve">Brussels Financial Advisory Group</w:t>
      </w:r>
      <w:r>
        <w:t xml:space="preserve"> </w:t>
      </w:r>
      <w:r>
        <w:t xml:space="preserve">| 12 Rue de la Loi, 1040 Brussels, Belgium</w:t>
      </w:r>
    </w:p>
    <w:p>
      <w:pPr>
        <w:pStyle w:val="BodyText"/>
      </w:pPr>
      <w:r>
        <w:t xml:space="preserve">Registered at the KBO/CBE under number 0765.432.109 | VAT BE 0765.432.109</w:t>
      </w:r>
    </w:p>
    <w:p>
      <w:pPr>
        <w:pStyle w:val="BodyText"/>
      </w:pPr>
      <w:r>
        <w:t xml:space="preserve">Licensed and regulated by the National Bank of Belgium and the FSMA</w:t>
      </w:r>
    </w:p>
    <w:p>
      <w:pPr>
        <w:pStyle w:val="BodyText"/>
      </w:pPr>
      <w:r>
        <w:t xml:space="preserve">This Invoice was generated electronically and is valid without a physical signature in accordance with Belgian electronic commerce legislation.</w:t>
      </w:r>
    </w:p>
    <w:p>
      <w:pPr>
        <w:pStyle w:val="BodyText"/>
      </w:pPr>
      <w:r>
        <w:t xml:space="preserve">VAT is charged at the standard Belgian rate of 21%. This Invoice is issued in the English language at the client's request. In the event of any discrepancy between the English and French versions, the French version shall prevail under Belgian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Brussels, Belgium</dc:title>
  <dc:creator/>
  <dc:language>en</dc:language>
  <cp:keywords/>
  <dcterms:created xsi:type="dcterms:W3CDTF">2026-10-10T06:28:42Z</dcterms:created>
  <dcterms:modified xsi:type="dcterms:W3CDTF">2026-10-10T06:28:42Z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