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invoice"/>
    <w:p>
      <w:pPr>
        <w:pStyle w:val="Heading1"/>
      </w:pPr>
      <w:r>
        <w:t xml:space="preserve">INVOICE</w:t>
      </w:r>
    </w:p>
    <w:p>
      <w:pPr>
        <w:pStyle w:val="FirstParagraph"/>
      </w:pPr>
      <w:r>
        <w:t xml:space="preserve">Professional Banking &amp; Financial Advisory Services</w:t>
      </w:r>
    </w:p>
    <w:p>
      <w:pPr>
        <w:pStyle w:val="BodyText"/>
      </w:pPr>
      <w:r>
        <w:t xml:space="preserve"> </w:t>
      </w:r>
      <w:r>
        <w:t xml:space="preserve"> </w:t>
      </w:r>
    </w:p>
    <w:p>
      <w:pPr>
        <w:pStyle w:val="BodyText"/>
      </w:pPr>
      <w:r>
        <w:t xml:space="preserve">Issued in Brasília, Distrito Federal, Brazil</w:t>
      </w:r>
    </w:p>
    <w:bookmarkEnd w:id="20"/>
    <w:p>
      <w:pPr>
        <w:pStyle w:val="BodyText"/>
      </w:pPr>
      <w:r>
        <w:t xml:space="preserve">Invoice No.: BR-BSB-2025-004872</w:t>
      </w:r>
      <w:r>
        <w:br/>
      </w:r>
      <w:r>
        <w:t xml:space="preserve">NFS-e / Nota Fiscal de Serviço</w:t>
      </w:r>
    </w:p>
    <w:bookmarkStart w:id="21" w:name="banker-service-provider"/>
    <w:p>
      <w:pPr>
        <w:pStyle w:val="Heading3"/>
      </w:pPr>
      <w:r>
        <w:t xml:space="preserve">Banker / Service Provider</w:t>
      </w:r>
    </w:p>
    <w:p>
      <w:pPr>
        <w:pStyle w:val="FirstParagraph"/>
      </w:pPr>
      <w:r>
        <w:rPr>
          <w:bCs/>
          <w:b/>
        </w:rPr>
        <w:t xml:space="preserve">Name:</w:t>
      </w:r>
      <w:r>
        <w:t xml:space="preserve"> </w:t>
      </w:r>
      <w:r>
        <w:t xml:space="preserve">Ricardo Almeida Santos</w:t>
      </w:r>
    </w:p>
    <w:p>
      <w:pPr>
        <w:pStyle w:val="BodyText"/>
      </w:pPr>
      <w:r>
        <w:rPr>
          <w:bCs/>
          <w:b/>
        </w:rPr>
        <w:t xml:space="preserve">Title:</w:t>
      </w:r>
      <w:r>
        <w:t xml:space="preserve"> </w:t>
      </w:r>
      <w:r>
        <w:t xml:space="preserve">Senior Banker &amp; Financial Consultant</w:t>
      </w:r>
    </w:p>
    <w:p>
      <w:pPr>
        <w:pStyle w:val="BodyText"/>
      </w:pPr>
      <w:r>
        <w:rPr>
          <w:bCs/>
          <w:b/>
        </w:rPr>
        <w:t xml:space="preserve">CNPJ:</w:t>
      </w:r>
      <w:r>
        <w:t xml:space="preserve"> </w:t>
      </w:r>
      <w:r>
        <w:t xml:space="preserve">12.345.678/0001-90</w:t>
      </w:r>
    </w:p>
    <w:p>
      <w:pPr>
        <w:pStyle w:val="BodyText"/>
      </w:pPr>
      <w:r>
        <w:rPr>
          <w:bCs/>
          <w:b/>
        </w:rPr>
        <w:t xml:space="preserve">CPF:</w:t>
      </w:r>
      <w:r>
        <w:t xml:space="preserve"> </w:t>
      </w:r>
      <w:r>
        <w:t xml:space="preserve">123.456.789-00</w:t>
      </w:r>
    </w:p>
    <w:p>
      <w:pPr>
        <w:pStyle w:val="BodyText"/>
      </w:pPr>
      <w:r>
        <w:rPr>
          <w:bCs/>
          <w:b/>
        </w:rPr>
        <w:t xml:space="preserve">Address:</w:t>
      </w:r>
      <w:r>
        <w:t xml:space="preserve"> </w:t>
      </w:r>
      <w:r>
        <w:t xml:space="preserve">Setor Bancário Sul, Quadra 01, Bloco A, Sala 1204, Edifício Faria Lima</w:t>
      </w:r>
    </w:p>
    <w:p>
      <w:pPr>
        <w:pStyle w:val="BodyText"/>
      </w:pPr>
      <w:r>
        <w:rPr>
          <w:bCs/>
          <w:b/>
        </w:rPr>
        <w:t xml:space="preserve">City:</w:t>
      </w:r>
      <w:r>
        <w:t xml:space="preserve"> </w:t>
      </w:r>
      <w:r>
        <w:t xml:space="preserve">Brasília – DF, CEP 70070-000, Brazil</w:t>
      </w:r>
    </w:p>
    <w:p>
      <w:pPr>
        <w:pStyle w:val="BodyText"/>
      </w:pPr>
      <w:r>
        <w:rPr>
          <w:bCs/>
          <w:b/>
        </w:rPr>
        <w:t xml:space="preserve">Phone:</w:t>
      </w:r>
      <w:r>
        <w:t xml:space="preserve"> </w:t>
      </w:r>
      <w:r>
        <w:t xml:space="preserve">+55 (61) 3321-4567</w:t>
      </w:r>
    </w:p>
    <w:p>
      <w:pPr>
        <w:pStyle w:val="BodyText"/>
      </w:pPr>
      <w:r>
        <w:rPr>
          <w:bCs/>
          <w:b/>
        </w:rPr>
        <w:t xml:space="preserve">Email:</w:t>
      </w:r>
      <w:r>
        <w:t xml:space="preserve"> </w:t>
      </w:r>
      <w:r>
        <w:t xml:space="preserve">r.almeida@bankerbrasilia.com.br</w:t>
      </w:r>
    </w:p>
    <w:p>
      <w:pPr>
        <w:pStyle w:val="BodyText"/>
      </w:pPr>
      <w:r>
        <w:rPr>
          <w:bCs/>
          <w:b/>
        </w:rPr>
        <w:t xml:space="preserve">Professional Registration:</w:t>
      </w:r>
      <w:r>
        <w:t xml:space="preserve"> </w:t>
      </w:r>
      <w:r>
        <w:t xml:space="preserve">CVM-REG-2019-44521</w:t>
      </w:r>
    </w:p>
    <w:bookmarkEnd w:id="21"/>
    <w:bookmarkStart w:id="22" w:name="client-bill-to"/>
    <w:p>
      <w:pPr>
        <w:pStyle w:val="Heading3"/>
      </w:pPr>
      <w:r>
        <w:t xml:space="preserve">Client / Bill To</w:t>
      </w:r>
    </w:p>
    <w:p>
      <w:pPr>
        <w:pStyle w:val="FirstParagraph"/>
      </w:pPr>
      <w:r>
        <w:rPr>
          <w:bCs/>
          <w:b/>
        </w:rPr>
        <w:t xml:space="preserve">Company:</w:t>
      </w:r>
      <w:r>
        <w:t xml:space="preserve"> </w:t>
      </w:r>
      <w:r>
        <w:t xml:space="preserve">Construtora Horizonte Ltda.</w:t>
      </w:r>
    </w:p>
    <w:p>
      <w:pPr>
        <w:pStyle w:val="BodyText"/>
      </w:pPr>
      <w:r>
        <w:rPr>
          <w:bCs/>
          <w:b/>
        </w:rPr>
        <w:t xml:space="preserve">CNPJ:</w:t>
      </w:r>
      <w:r>
        <w:t xml:space="preserve"> </w:t>
      </w:r>
      <w:r>
        <w:t xml:space="preserve">98.765.432/0001-10</w:t>
      </w:r>
    </w:p>
    <w:p>
      <w:pPr>
        <w:pStyle w:val="BodyText"/>
      </w:pPr>
      <w:r>
        <w:rPr>
          <w:bCs/>
          <w:b/>
        </w:rPr>
        <w:t xml:space="preserve">Address:</w:t>
      </w:r>
      <w:r>
        <w:t xml:space="preserve"> </w:t>
      </w:r>
      <w:r>
        <w:t xml:space="preserve">SHIS QI 05, Lote 12, Asa Sul</w:t>
      </w:r>
    </w:p>
    <w:p>
      <w:pPr>
        <w:pStyle w:val="BodyText"/>
      </w:pPr>
      <w:r>
        <w:rPr>
          <w:bCs/>
          <w:b/>
        </w:rPr>
        <w:t xml:space="preserve">City:</w:t>
      </w:r>
      <w:r>
        <w:t xml:space="preserve"> </w:t>
      </w:r>
      <w:r>
        <w:t xml:space="preserve">Brasília – DF, CEP 70310-500, Brazil</w:t>
      </w:r>
    </w:p>
    <w:p>
      <w:pPr>
        <w:pStyle w:val="BodyText"/>
      </w:pPr>
      <w:r>
        <w:rPr>
          <w:bCs/>
          <w:b/>
        </w:rPr>
        <w:t xml:space="preserve">Phone:</w:t>
      </w:r>
      <w:r>
        <w:t xml:space="preserve"> </w:t>
      </w:r>
      <w:r>
        <w:t xml:space="preserve">+55 (61) 3222-8899</w:t>
      </w:r>
    </w:p>
    <w:p>
      <w:pPr>
        <w:pStyle w:val="BodyText"/>
      </w:pPr>
      <w:r>
        <w:rPr>
          <w:bCs/>
          <w:b/>
        </w:rPr>
        <w:t xml:space="preserve">Email:</w:t>
      </w:r>
      <w:r>
        <w:t xml:space="preserve"> </w:t>
      </w:r>
      <w:r>
        <w:t xml:space="preserve">financeiro@horizonte.com.br</w:t>
      </w:r>
    </w:p>
    <w:p>
      <w:pPr>
        <w:pStyle w:val="BodyText"/>
      </w:pPr>
      <w:r>
        <w:rPr>
          <w:bCs/>
          <w:b/>
        </w:rPr>
        <w:t xml:space="preserve">Account Manager:</w:t>
      </w:r>
      <w:r>
        <w:t xml:space="preserve"> </w:t>
      </w:r>
      <w:r>
        <w:t xml:space="preserve">Fernanda Oliveira</w:t>
      </w:r>
    </w:p>
    <w:bookmarkEnd w:id="22"/>
    <w:bookmarkStart w:id="23" w:name="invoice-details"/>
    <w:p>
      <w:pPr>
        <w:pStyle w:val="Heading3"/>
      </w:pPr>
      <w:r>
        <w:t xml:space="preserve">Invoice Details</w:t>
      </w:r>
    </w:p>
    <w:p>
      <w:pPr>
        <w:pStyle w:val="FirstParagraph"/>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 (15 days)</w:t>
      </w:r>
    </w:p>
    <w:p>
      <w:pPr>
        <w:pStyle w:val="BodyText"/>
      </w:pPr>
      <w:r>
        <w:rPr>
          <w:bCs/>
          <w:b/>
        </w:rPr>
        <w:t xml:space="preserve">Payment Method:</w:t>
      </w:r>
      <w:r>
        <w:t xml:space="preserve"> </w:t>
      </w:r>
      <w:r>
        <w:t xml:space="preserve">TED / PIX Transfer</w:t>
      </w:r>
    </w:p>
    <w:p>
      <w:pPr>
        <w:pStyle w:val="BodyText"/>
      </w:pPr>
      <w:r>
        <w:rPr>
          <w:bCs/>
          <w:b/>
        </w:rPr>
        <w:t xml:space="preserve">Bank:</w:t>
      </w:r>
      <w:r>
        <w:t xml:space="preserve"> </w:t>
      </w:r>
      <w:r>
        <w:t xml:space="preserve">Banco do Brasil S.A.</w:t>
      </w:r>
    </w:p>
    <w:p>
      <w:pPr>
        <w:pStyle w:val="BodyText"/>
      </w:pPr>
      <w:r>
        <w:rPr>
          <w:bCs/>
          <w:b/>
        </w:rPr>
        <w:t xml:space="preserve">Account No.:</w:t>
      </w:r>
      <w:r>
        <w:t xml:space="preserve"> </w:t>
      </w:r>
      <w:r>
        <w:t xml:space="preserve">1234-5, Ag. 2876-0</w:t>
      </w:r>
    </w:p>
    <w:p>
      <w:pPr>
        <w:pStyle w:val="BodyText"/>
      </w:pPr>
      <w:r>
        <w:rPr>
          <w:bCs/>
          <w:b/>
        </w:rPr>
        <w:t xml:space="preserve">Currency:</w:t>
      </w:r>
      <w:r>
        <w:t xml:space="preserve"> </w:t>
      </w:r>
      <w:r>
        <w:t xml:space="preserve">Brazilian Real (BRL – R$)</w:t>
      </w:r>
    </w:p>
    <w:bookmarkEnd w:id="23"/>
    <w:bookmarkStart w:id="24" w:name="service-period"/>
    <w:p>
      <w:pPr>
        <w:pStyle w:val="Heading3"/>
      </w:pPr>
      <w:r>
        <w:t xml:space="preserve">Service Period</w:t>
      </w:r>
    </w:p>
    <w:p>
      <w:pPr>
        <w:pStyle w:val="FirstParagraph"/>
      </w:pPr>
      <w:r>
        <w:rPr>
          <w:bCs/>
          <w:b/>
        </w:rPr>
        <w:t xml:space="preserve">Start Date:</w:t>
      </w:r>
      <w:r>
        <w:t xml:space="preserve"> </w:t>
      </w:r>
      <w:r>
        <w:t xml:space="preserve">01 May 2025</w:t>
      </w:r>
    </w:p>
    <w:p>
      <w:pPr>
        <w:pStyle w:val="BodyText"/>
      </w:pPr>
      <w:r>
        <w:rPr>
          <w:bCs/>
          <w:b/>
        </w:rPr>
        <w:t xml:space="preserve">End Date:</w:t>
      </w:r>
      <w:r>
        <w:t xml:space="preserve"> </w:t>
      </w:r>
      <w:r>
        <w:t xml:space="preserve">31 May 2025</w:t>
      </w:r>
    </w:p>
    <w:p>
      <w:pPr>
        <w:pStyle w:val="BodyText"/>
      </w:pPr>
      <w:r>
        <w:rPr>
          <w:bCs/>
          <w:b/>
        </w:rPr>
        <w:t xml:space="preserve">Service Location:</w:t>
      </w:r>
      <w:r>
        <w:t xml:space="preserve"> </w:t>
      </w:r>
      <w:r>
        <w:t xml:space="preserve">Brasília, Distrito Federal, Brazil</w:t>
      </w:r>
    </w:p>
    <w:p>
      <w:pPr>
        <w:pStyle w:val="BodyText"/>
      </w:pPr>
      <w:r>
        <w:rPr>
          <w:bCs/>
          <w:b/>
        </w:rPr>
        <w:t xml:space="preserve">Contract Ref.:</w:t>
      </w:r>
      <w:r>
        <w:t xml:space="preserve"> </w:t>
      </w:r>
      <w:r>
        <w:t xml:space="preserve">CTR-BNK-2025-0031</w:t>
      </w:r>
    </w:p>
    <w:p>
      <w:pPr>
        <w:pStyle w:val="BodyText"/>
      </w:pPr>
      <w:r>
        <w:rPr>
          <w:bCs/>
          <w:b/>
        </w:rPr>
        <w:t xml:space="preserve">Regulatory Framework:</w:t>
      </w:r>
      <w:r>
        <w:t xml:space="preserve"> </w:t>
      </w:r>
      <w:r>
        <w:t xml:space="preserve">CMN Resolution 4.935/2021</w:t>
      </w:r>
    </w:p>
    <w:bookmarkEnd w:id="24"/>
    <w:bookmarkStart w:id="27" w:name="description-of-banking-services-rendered"/>
    <w:p>
      <w:pPr>
        <w:pStyle w:val="Heading2"/>
      </w:pPr>
      <w:r>
        <w:t xml:space="preserve">Description of Banking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(BRL)</w:t>
            </w:r>
          </w:p>
        </w:tc>
        <w:tc>
          <w:tcPr/>
          <w:p>
            <w:pPr>
              <w:pStyle w:val="Compact"/>
              <w:jc w:val="left"/>
            </w:pPr>
            <w:r>
              <w:t xml:space="preserve">Amount (BRL)</w:t>
            </w:r>
          </w:p>
        </w:tc>
      </w:tr>
      <w:tr>
        <w:tc>
          <w:tcPr/>
          <w:p>
            <w:pPr>
              <w:pStyle w:val="Compact"/>
              <w:jc w:val="left"/>
            </w:pPr>
            <w:r>
              <w:t xml:space="preserve">1</w:t>
            </w:r>
          </w:p>
        </w:tc>
        <w:tc>
          <w:tcPr/>
          <w:p>
            <w:pPr>
              <w:pStyle w:val="Compact"/>
              <w:jc w:val="left"/>
            </w:pPr>
            <w:r>
              <w:t xml:space="preserve">Corporate treasury management and cash flow optimization advisory for the client's Brasília operations, including daily liquidity planning and intercompany transfer coordination.</w:t>
            </w:r>
          </w:p>
        </w:tc>
        <w:tc>
          <w:tcPr/>
          <w:p>
            <w:pPr>
              <w:pStyle w:val="Compact"/>
              <w:jc w:val="left"/>
            </w:pPr>
            <w:r>
              <w:t xml:space="preserve">24</w:t>
            </w:r>
          </w:p>
        </w:tc>
        <w:tc>
          <w:tcPr/>
          <w:p>
            <w:pPr>
              <w:pStyle w:val="Compact"/>
              <w:jc w:val="left"/>
            </w:pPr>
            <w:r>
              <w:t xml:space="preserve">R$ 450,00</w:t>
            </w:r>
          </w:p>
        </w:tc>
        <w:tc>
          <w:tcPr/>
          <w:p>
            <w:pPr>
              <w:pStyle w:val="Compact"/>
              <w:jc w:val="left"/>
            </w:pPr>
            <w:r>
              <w:t xml:space="preserve">R$ 10.800,00</w:t>
            </w:r>
          </w:p>
        </w:tc>
      </w:tr>
      <w:tr>
        <w:tc>
          <w:tcPr/>
          <w:p>
            <w:pPr>
              <w:pStyle w:val="Compact"/>
              <w:jc w:val="left"/>
            </w:pPr>
            <w:r>
              <w:t xml:space="preserve">2</w:t>
            </w:r>
          </w:p>
        </w:tc>
        <w:tc>
          <w:tcPr/>
          <w:p>
            <w:pPr>
              <w:pStyle w:val="Compact"/>
              <w:jc w:val="left"/>
            </w:pPr>
            <w:r>
              <w:t xml:space="preserve">Structured credit facility negotiation and restructuring with multiple Brazilian financial institutions, including Banco do Brasil, Caixa Econômica Federal, and private banks operating in the Distrito Federal.</w:t>
            </w:r>
          </w:p>
        </w:tc>
        <w:tc>
          <w:tcPr/>
          <w:p>
            <w:pPr>
              <w:pStyle w:val="Compact"/>
              <w:jc w:val="left"/>
            </w:pPr>
            <w:r>
              <w:t xml:space="preserve">32</w:t>
            </w:r>
          </w:p>
        </w:tc>
        <w:tc>
          <w:tcPr/>
          <w:p>
            <w:pPr>
              <w:pStyle w:val="Compact"/>
              <w:jc w:val="left"/>
            </w:pPr>
            <w:r>
              <w:t xml:space="preserve">R$ 520,00</w:t>
            </w:r>
          </w:p>
        </w:tc>
        <w:tc>
          <w:tcPr/>
          <w:p>
            <w:pPr>
              <w:pStyle w:val="Compact"/>
              <w:jc w:val="left"/>
            </w:pPr>
            <w:r>
              <w:t xml:space="preserve">R$ 16.640,00</w:t>
            </w:r>
          </w:p>
        </w:tc>
      </w:tr>
      <w:tr>
        <w:tc>
          <w:tcPr/>
          <w:p>
            <w:pPr>
              <w:pStyle w:val="Compact"/>
              <w:jc w:val="left"/>
            </w:pPr>
            <w:r>
              <w:t xml:space="preserve">3</w:t>
            </w:r>
          </w:p>
        </w:tc>
        <w:tc>
          <w:tcPr/>
          <w:p>
            <w:pPr>
              <w:pStyle w:val="Compact"/>
              <w:jc w:val="left"/>
            </w:pPr>
            <w:r>
              <w:t xml:space="preserve">Foreign exchange risk hedging strategy development and execution for the client's import/export operations, utilizing BRL/USD and BRL/EUR derivative instruments available in the Brazilian interbank market.</w:t>
            </w:r>
          </w:p>
        </w:tc>
        <w:tc>
          <w:tcPr/>
          <w:p>
            <w:pPr>
              <w:pStyle w:val="Compact"/>
              <w:jc w:val="left"/>
            </w:pPr>
            <w:r>
              <w:t xml:space="preserve">18</w:t>
            </w:r>
          </w:p>
        </w:tc>
        <w:tc>
          <w:tcPr/>
          <w:p>
            <w:pPr>
              <w:pStyle w:val="Compact"/>
              <w:jc w:val="left"/>
            </w:pPr>
            <w:r>
              <w:t xml:space="preserve">R$ 580,00</w:t>
            </w:r>
          </w:p>
        </w:tc>
        <w:tc>
          <w:tcPr/>
          <w:p>
            <w:pPr>
              <w:pStyle w:val="Compact"/>
              <w:jc w:val="left"/>
            </w:pPr>
            <w:r>
              <w:t xml:space="preserve">R$ 10.440,00</w:t>
            </w:r>
          </w:p>
        </w:tc>
      </w:tr>
      <w:tr>
        <w:tc>
          <w:tcPr/>
          <w:p>
            <w:pPr>
              <w:pStyle w:val="Compact"/>
              <w:jc w:val="left"/>
            </w:pPr>
            <w:r>
              <w:t xml:space="preserve">4</w:t>
            </w:r>
          </w:p>
        </w:tc>
        <w:tc>
          <w:tcPr/>
          <w:p>
            <w:pPr>
              <w:pStyle w:val="Compact"/>
              <w:jc w:val="left"/>
            </w:pPr>
            <w:r>
              <w:t xml:space="preserve">Regulatory compliance review and reporting preparation in accordance with Banco Central do Brasil (BCB) directives, including anti-money laundering (AML) protocols and CVM disclosure requirements for the Brasília-based entity.</w:t>
            </w:r>
          </w:p>
        </w:tc>
        <w:tc>
          <w:tcPr/>
          <w:p>
            <w:pPr>
              <w:pStyle w:val="Compact"/>
              <w:jc w:val="left"/>
            </w:pPr>
            <w:r>
              <w:t xml:space="preserve">20</w:t>
            </w:r>
          </w:p>
        </w:tc>
        <w:tc>
          <w:tcPr/>
          <w:p>
            <w:pPr>
              <w:pStyle w:val="Compact"/>
              <w:jc w:val="left"/>
            </w:pPr>
            <w:r>
              <w:t xml:space="preserve">R$ 480,00</w:t>
            </w:r>
          </w:p>
        </w:tc>
        <w:tc>
          <w:tcPr/>
          <w:p>
            <w:pPr>
              <w:pStyle w:val="Compact"/>
              <w:jc w:val="left"/>
            </w:pPr>
            <w:r>
              <w:t xml:space="preserve">R$ 9.600,00</w:t>
            </w:r>
          </w:p>
        </w:tc>
      </w:tr>
      <w:tr>
        <w:tc>
          <w:tcPr/>
          <w:p>
            <w:pPr>
              <w:pStyle w:val="Compact"/>
              <w:jc w:val="left"/>
            </w:pPr>
            <w:r>
              <w:t xml:space="preserve">5</w:t>
            </w:r>
          </w:p>
        </w:tc>
        <w:tc>
          <w:tcPr/>
          <w:p>
            <w:pPr>
              <w:pStyle w:val="Compact"/>
              <w:jc w:val="left"/>
            </w:pPr>
            <w:r>
              <w:t xml:space="preserve">Investment portfolio rebalancing and asset allocation advisory for the corporate reserve fund, incorporating Brazilian fixed-income securities (Tesouro Direto, CDBs, LCIs) and equity positions listed on B3 S.A. – Brasil, Bolsa, Balcão.</w:t>
            </w:r>
          </w:p>
        </w:tc>
        <w:tc>
          <w:tcPr/>
          <w:p>
            <w:pPr>
              <w:pStyle w:val="Compact"/>
              <w:jc w:val="left"/>
            </w:pPr>
            <w:r>
              <w:t xml:space="preserve">16</w:t>
            </w:r>
          </w:p>
        </w:tc>
        <w:tc>
          <w:tcPr/>
          <w:p>
            <w:pPr>
              <w:pStyle w:val="Compact"/>
              <w:jc w:val="left"/>
            </w:pPr>
            <w:r>
              <w:t xml:space="preserve">R$ 550,00</w:t>
            </w:r>
          </w:p>
        </w:tc>
        <w:tc>
          <w:tcPr/>
          <w:p>
            <w:pPr>
              <w:pStyle w:val="Compact"/>
              <w:jc w:val="left"/>
            </w:pPr>
            <w:r>
              <w:t xml:space="preserve">R$ 8.800,00</w:t>
            </w:r>
          </w:p>
        </w:tc>
      </w:tr>
      <w:tr>
        <w:tc>
          <w:tcPr/>
          <w:p>
            <w:pPr>
              <w:pStyle w:val="Compact"/>
              <w:jc w:val="left"/>
            </w:pPr>
            <w:r>
              <w:t xml:space="preserve">6</w:t>
            </w:r>
          </w:p>
        </w:tc>
        <w:tc>
          <w:tcPr/>
          <w:p>
            <w:pPr>
              <w:pStyle w:val="Compact"/>
              <w:jc w:val="left"/>
            </w:pPr>
            <w:r>
              <w:t xml:space="preserve">On-site banking relationship management and quarterly performance review meeting held at the client's headquarters in Asa Sul, Brasília, including presentation of KPIs and strategic recommendations for the second quarter of 2025.</w:t>
            </w:r>
          </w:p>
        </w:tc>
        <w:tc>
          <w:tcPr/>
          <w:p>
            <w:pPr>
              <w:pStyle w:val="Compact"/>
              <w:jc w:val="left"/>
            </w:pPr>
            <w:r>
              <w:t xml:space="preserve">8</w:t>
            </w:r>
          </w:p>
        </w:tc>
        <w:tc>
          <w:tcPr/>
          <w:p>
            <w:pPr>
              <w:pStyle w:val="Compact"/>
              <w:jc w:val="left"/>
            </w:pPr>
            <w:r>
              <w:t xml:space="preserve">R$ 600,00</w:t>
            </w:r>
          </w:p>
        </w:tc>
        <w:tc>
          <w:tcPr/>
          <w:p>
            <w:pPr>
              <w:pStyle w:val="Compact"/>
              <w:jc w:val="left"/>
            </w:pPr>
            <w:r>
              <w:t xml:space="preserve">R$ 4.800,00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right"/>
            </w:pPr>
            <w:r>
              <w:t xml:space="preserve">R$ 61.080,00</w:t>
            </w:r>
          </w:p>
        </w:tc>
      </w:tr>
      <w:tr>
        <w:tc>
          <w:tcPr/>
          <w:p>
            <w:pPr>
              <w:pStyle w:val="Compact"/>
              <w:jc w:val="left"/>
            </w:pPr>
            <w:r>
              <w:t xml:space="preserve">ISS (Imposto Sobre Serviços) – Brasília – DF (5%)</w:t>
            </w:r>
          </w:p>
        </w:tc>
        <w:tc>
          <w:tcPr/>
          <w:p>
            <w:pPr>
              <w:pStyle w:val="Compact"/>
              <w:jc w:val="right"/>
            </w:pPr>
            <w:r>
              <w:t xml:space="preserve">R$ 3.054,00</w:t>
            </w:r>
          </w:p>
        </w:tc>
      </w:tr>
      <w:tr>
        <w:tc>
          <w:tcPr/>
          <w:p>
            <w:pPr>
              <w:pStyle w:val="Compact"/>
              <w:jc w:val="left"/>
            </w:pPr>
            <w:r>
              <w:t xml:space="preserve">IRRF (Imposto de Renda Retido na Fonte) (11%)</w:t>
            </w:r>
          </w:p>
        </w:tc>
        <w:tc>
          <w:tcPr/>
          <w:p>
            <w:pPr>
              <w:pStyle w:val="Compact"/>
              <w:jc w:val="right"/>
            </w:pPr>
            <w:r>
              <w:t xml:space="preserve">R$ 6.718,80</w:t>
            </w:r>
          </w:p>
        </w:tc>
      </w:tr>
      <w:tr>
        <w:tc>
          <w:tcPr/>
          <w:p>
            <w:pPr>
              <w:pStyle w:val="Compact"/>
              <w:jc w:val="left"/>
            </w:pPr>
            <w:r>
              <w:t xml:space="preserve">INSS (Contribuição Previdenciária) (11%)</w:t>
            </w:r>
          </w:p>
        </w:tc>
        <w:tc>
          <w:tcPr/>
          <w:p>
            <w:pPr>
              <w:pStyle w:val="Compact"/>
              <w:jc w:val="right"/>
            </w:pPr>
            <w:r>
              <w:t xml:space="preserve">R$ 6.718,80</w:t>
            </w:r>
          </w:p>
        </w:tc>
      </w:tr>
      <w:tr>
        <w:tc>
          <w:tcPr/>
          <w:p>
            <w:pPr>
              <w:pStyle w:val="Compact"/>
              <w:jc w:val="left"/>
            </w:pPr>
            <w:r>
              <w:t xml:space="preserve">CSLL (Contribuição Social sobre Lucro Líquido) (3,66%)</w:t>
            </w:r>
          </w:p>
        </w:tc>
        <w:tc>
          <w:tcPr/>
          <w:p>
            <w:pPr>
              <w:pStyle w:val="Compact"/>
              <w:jc w:val="right"/>
            </w:pPr>
            <w:r>
              <w:t xml:space="preserve">R$ 2.235,53</w:t>
            </w:r>
          </w:p>
        </w:tc>
      </w:tr>
      <w:tr>
        <w:tc>
          <w:tcPr/>
          <w:p>
            <w:pPr>
              <w:pStyle w:val="Compact"/>
              <w:jc w:val="left"/>
            </w:pPr>
            <w:r>
              <w:t xml:space="preserve">PIS/COFINS (4,65%)</w:t>
            </w:r>
          </w:p>
        </w:tc>
        <w:tc>
          <w:tcPr/>
          <w:p>
            <w:pPr>
              <w:pStyle w:val="Compact"/>
              <w:jc w:val="right"/>
            </w:pPr>
            <w:r>
              <w:t xml:space="preserve">R$ 2.840,22</w:t>
            </w:r>
          </w:p>
        </w:tc>
      </w:tr>
      <w:tr>
        <w:tc>
          <w:tcPr/>
          <w:p>
            <w:pPr>
              <w:pStyle w:val="Compact"/>
              <w:jc w:val="left"/>
            </w:pPr>
            <w:r>
              <w:t xml:space="preserve">NET AMOUNT DUE (after withholdings)</w:t>
            </w:r>
          </w:p>
        </w:tc>
        <w:tc>
          <w:tcPr/>
          <w:p>
            <w:pPr>
              <w:pStyle w:val="Compact"/>
              <w:jc w:val="right"/>
            </w:pPr>
            <w:r>
              <w:t xml:space="preserve">R$ 45.512,65</w:t>
            </w:r>
          </w:p>
        </w:tc>
      </w:tr>
    </w:tbl>
    <w:bookmarkStart w:id="25" w:name="payment-terms-notes"/>
    <w:p>
      <w:pPr>
        <w:pStyle w:val="Heading3"/>
      </w:pPr>
      <w:r>
        <w:t xml:space="preserve">Payment Terms &amp; Notes</w:t>
      </w:r>
    </w:p>
    <w:p>
      <w:pPr>
        <w:pStyle w:val="FirstParagraph"/>
      </w:pPr>
      <w:r>
        <w:t xml:space="preserve">This invoice is issued in accordance with the Brazilian National Tax Code (Código Tributário Nacional – CTN) and the specific regulations of the Distrito Federal for service taxation (ISS). The Banker, Ricardo Almeida Santos, operates as a registered financial professional under the supervision of the Comissão de Valores Mobiliários (CVM) and the Conselho Monetário Nacional (CMN) in Brasília, Brazil.</w:t>
      </w:r>
    </w:p>
    <w:p>
      <w:pPr>
        <w:pStyle w:val="BodyText"/>
      </w:pPr>
      <w:r>
        <w:t xml:space="preserve">Payment is due within fifteen (15) calendar days from the issue date via TED transfer or PIX to the account details specified above. Late payments shall be subject to a monthly interest rate of 1% plus a 2% penalty fee, in compliance with Brazilian commercial law (Código Civil, Art. 412).</w:t>
      </w:r>
    </w:p>
    <w:p>
      <w:pPr>
        <w:pStyle w:val="BodyText"/>
      </w:pPr>
      <w:r>
        <w:t xml:space="preserve">All services described herein were performed by a licensed Banker operating within the jurisdiction of Brasília, Distrito Federal, and are subject to the professional ethics code established by the Brazilian banking regulatory framework. The client acknowledges that this invoice constitutes a valid Nota Fiscal de Serviço (NFS-e) for tax deduction purposes under Brazilian federal, state, and municipal tax legislation.</w:t>
      </w:r>
    </w:p>
    <w:p>
      <w:pPr>
        <w:pStyle w:val="BodyText"/>
      </w:pPr>
      <w:r>
        <w:t xml:space="preserve">For any disputes arising from this invoice or the services rendered, the parties agree to submit to the jurisdiction of the courts of Brasília, Distrito Federal, Brazil, as stipulated in the master service agreement CTR-BNK-2025-0031.</w:t>
      </w:r>
    </w:p>
    <w:bookmarkEnd w:id="25"/>
    <w:bookmarkStart w:id="26" w:name="legal-regulatory-disclaimer"/>
    <w:p>
      <w:pPr>
        <w:pStyle w:val="Heading3"/>
      </w:pPr>
      <w:r>
        <w:t xml:space="preserve">Legal &amp; Regulatory Disclaimer</w:t>
      </w:r>
    </w:p>
    <w:p>
      <w:pPr>
        <w:pStyle w:val="FirstParagraph"/>
      </w:pPr>
      <w:r>
        <w:t xml:space="preserve">This invoice documents professional banking and financial advisory services rendered by a qualified Banker in the city of Brasília, capital of the Federal District of Brazil. The services described are provided in strict compliance with the regulations issued by the Banco Central do Brasil (BCB), the Comissão de Valores Mobiliários (CVM), and the Conselho Monetário Nacional (CMN). The Banker assumes no liability for market movements, regulatory changes, or third-party actions beyond the scope of the professional engagement. This document is valid as a fiscal document (documento fiscal) under Brazilian law and must be retained by the client for a minimum period of five (5) years in accordance with the Lei de Responsabilidade Fiscal and applicable tax regulations of the Distrito Federal.</w:t>
      </w:r>
    </w:p>
    <w:bookmarkEnd w:id="26"/>
    <w:p>
      <w:pPr>
        <w:pStyle w:val="BodyText"/>
      </w:pPr>
      <w:r>
        <w:rPr>
          <w:bCs/>
          <w:b/>
        </w:rPr>
        <w:t xml:space="preserve">Ricardo Almeida Santos</w:t>
      </w:r>
      <w:r>
        <w:br/>
      </w:r>
      <w:r>
        <w:t xml:space="preserve">Senior Banker &amp; Financial Consultant</w:t>
      </w:r>
      <w:r>
        <w:br/>
      </w:r>
      <w:r>
        <w:t xml:space="preserve">CNPJ: 12.345.678/0001-90</w:t>
      </w:r>
      <w:r>
        <w:br/>
      </w:r>
      <w:r>
        <w:t xml:space="preserve">Brasília – DF, Brazil</w:t>
      </w:r>
    </w:p>
    <w:p>
      <w:pPr>
        <w:pStyle w:val="BodyText"/>
      </w:pPr>
      <w:r>
        <w:rPr>
          <w:bCs/>
          <w:b/>
        </w:rPr>
        <w:t xml:space="preserve">Authorized Representative</w:t>
      </w:r>
      <w:r>
        <w:br/>
      </w:r>
      <w:r>
        <w:t xml:space="preserve">Construtora Horizonte Ltda.</w:t>
      </w:r>
      <w:r>
        <w:br/>
      </w:r>
      <w:r>
        <w:t xml:space="preserve">CNPJ: 98.765.432/0001-10</w:t>
      </w:r>
      <w:r>
        <w:br/>
      </w:r>
      <w:r>
        <w:t xml:space="preserve">Brasília – DF, Brazil</w:t>
      </w:r>
    </w:p>
    <w:p>
      <w:pPr>
        <w:pStyle w:val="BodyText"/>
      </w:pPr>
      <w:r>
        <w:rPr>
          <w:bCs/>
          <w:b/>
        </w:rPr>
        <w:t xml:space="preserve">INVOICE BR-BSB-2025-004872</w:t>
      </w:r>
      <w:r>
        <w:t xml:space="preserve"> </w:t>
      </w:r>
      <w:r>
        <w:t xml:space="preserve">| Banker Services | Brasília, Distrito Federal, Brazil</w:t>
      </w:r>
    </w:p>
    <w:p>
      <w:pPr>
        <w:pStyle w:val="BodyText"/>
      </w:pPr>
      <w:r>
        <w:t xml:space="preserve">This document was electronically generated and is valid without a physical signature in accordance with Brazilian electronic document legislation (Lei 14.063/2020).</w:t>
      </w:r>
    </w:p>
    <w:p>
      <w:pPr>
        <w:pStyle w:val="BodyText"/>
      </w:pPr>
      <w:r>
        <w:t xml:space="preserve">© 2025 Ricardo Almeida Santos – Banker &amp; Financial Consultant, Brasília, Brazil.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Brazil Brasília</dc:title>
  <dc:creator/>
  <dc:language>en</dc:language>
  <cp:keywords/>
  <dcterms:created xsi:type="dcterms:W3CDTF">2026-10-10T07:06:06Z</dcterms:created>
  <dcterms:modified xsi:type="dcterms:W3CDTF">2026-10-10T07:06:06Z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