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toronto-financial-advisory-group-inc."/>
    <w:p>
      <w:pPr>
        <w:pStyle w:val="Heading1"/>
      </w:pPr>
      <w:r>
        <w:t xml:space="preserve">Toronto Financial Advisory Group Inc.</w:t>
      </w:r>
    </w:p>
    <w:p>
      <w:pPr>
        <w:pStyle w:val="FirstParagraph"/>
      </w:pPr>
      <w:r>
        <w:t xml:space="preserve">200 Bay Street, Suite 3400, Toronto, Ontario M5J 2J2, Canada</w:t>
      </w:r>
    </w:p>
    <w:p>
      <w:pPr>
        <w:pStyle w:val="BodyText"/>
      </w:pPr>
      <w:r>
        <w:t xml:space="preserve">Phone: +1 (416) 555-0187 | Email: billing@torontofinancial.ca</w:t>
      </w:r>
    </w:p>
    <w:p>
      <w:pPr>
        <w:pStyle w:val="BodyText"/>
      </w:pPr>
      <w:r>
        <w:t xml:space="preserve">Business Number: 123456789RT0001 | GST/HST: 123456789</w:t>
      </w:r>
    </w:p>
    <w:bookmarkEnd w:id="20"/>
    <w:bookmarkStart w:id="21" w:name="invoice"/>
    <w:p>
      <w:pPr>
        <w:pStyle w:val="Heading2"/>
      </w:pPr>
      <w:r>
        <w:t xml:space="preserve">INVOICE</w:t>
      </w:r>
    </w:p>
    <w:p>
      <w:pPr>
        <w:pStyle w:val="FirstParagraph"/>
      </w:pPr>
      <w:r>
        <w:t xml:space="preserve">Invoice Number: TFG-2025-00487</w:t>
      </w:r>
    </w:p>
    <w:p>
      <w:pPr>
        <w:pStyle w:val="BodyText"/>
      </w:pPr>
      <w:r>
        <w:t xml:space="preserve">Date Issued: June 15, 2025</w:t>
      </w:r>
    </w:p>
    <w:p>
      <w:pPr>
        <w:pStyle w:val="BodyText"/>
      </w:pPr>
      <w:r>
        <w:t xml:space="preserve">Due Date: July 15, 2025</w:t>
      </w:r>
    </w:p>
    <w:p>
      <w:pPr>
        <w:pStyle w:val="BodyText"/>
      </w:pPr>
      <w:r>
        <w:t xml:space="preserve">CANADA TORONTO</w:t>
      </w:r>
    </w:p>
    <w:bookmarkEnd w:id="21"/>
    <w:bookmarkStart w:id="22" w:name="bill-to"/>
    <w:p>
      <w:pPr>
        <w:pStyle w:val="Heading3"/>
      </w:pPr>
      <w:r>
        <w:t xml:space="preserve">Bill To</w:t>
      </w:r>
    </w:p>
    <w:p>
      <w:pPr>
        <w:pStyle w:val="FirstParagraph"/>
      </w:pPr>
      <w:r>
        <w:t xml:space="preserve">Client Name:</w:t>
      </w:r>
      <w:r>
        <w:t xml:space="preserve"> </w:t>
      </w:r>
      <w:r>
        <w:t xml:space="preserve">Mr. Jonathan R. Whitfield</w:t>
      </w:r>
    </w:p>
    <w:p>
      <w:pPr>
        <w:pStyle w:val="BodyText"/>
      </w:pPr>
      <w:r>
        <w:t xml:space="preserve">Title:</w:t>
      </w:r>
      <w:r>
        <w:t xml:space="preserve"> </w:t>
      </w:r>
      <w:r>
        <w:t xml:space="preserve">Senior Banker, Corporate Lending Division</w:t>
      </w:r>
    </w:p>
    <w:p>
      <w:pPr>
        <w:pStyle w:val="BodyText"/>
      </w:pPr>
      <w:r>
        <w:t xml:space="preserve">Institution:</w:t>
      </w:r>
      <w:r>
        <w:t xml:space="preserve"> </w:t>
      </w:r>
      <w:r>
        <w:t xml:space="preserve">First National Bank of Canada</w:t>
      </w:r>
    </w:p>
    <w:p>
      <w:pPr>
        <w:pStyle w:val="BodyText"/>
      </w:pPr>
      <w:r>
        <w:t xml:space="preserve">Address:</w:t>
      </w:r>
      <w:r>
        <w:t xml:space="preserve"> </w:t>
      </w:r>
      <w:r>
        <w:t xml:space="preserve">1 King Street East, Toronto, Ontario M5C 2X6, Canada</w:t>
      </w:r>
    </w:p>
    <w:p>
      <w:pPr>
        <w:pStyle w:val="BodyText"/>
      </w:pPr>
      <w:r>
        <w:t xml:space="preserve">Contact:</w:t>
      </w:r>
      <w:r>
        <w:t xml:space="preserve"> </w:t>
      </w:r>
      <w:r>
        <w:t xml:space="preserve">j.whitfield@fnbc.ca | +1 (416) 555-0243</w:t>
      </w:r>
    </w:p>
    <w:bookmarkEnd w:id="22"/>
    <w:bookmarkStart w:id="23" w:name="invoice-details"/>
    <w:p>
      <w:pPr>
        <w:pStyle w:val="Heading3"/>
      </w:pPr>
      <w:r>
        <w:t xml:space="preserve">Invoice Details</w:t>
      </w:r>
    </w:p>
    <w:p>
      <w:pPr>
        <w:pStyle w:val="FirstParagraph"/>
      </w:pPr>
      <w:r>
        <w:t xml:space="preserve">Service Period:</w:t>
      </w:r>
      <w:r>
        <w:t xml:space="preserve"> </w:t>
      </w:r>
      <w:r>
        <w:t xml:space="preserve">May 1, 2025 – May 31, 2025</w:t>
      </w:r>
    </w:p>
    <w:p>
      <w:pPr>
        <w:pStyle w:val="BodyText"/>
      </w:pPr>
      <w:r>
        <w:t xml:space="preserve">Currency:</w:t>
      </w:r>
      <w:r>
        <w:t xml:space="preserve"> </w:t>
      </w:r>
      <w:r>
        <w:t xml:space="preserve">Canadian Dollar (CAD $)</w:t>
      </w:r>
    </w:p>
    <w:p>
      <w:pPr>
        <w:pStyle w:val="BodyText"/>
      </w:pPr>
      <w:r>
        <w:t xml:space="preserve">Payment Terms:</w:t>
      </w:r>
      <w:r>
        <w:t xml:space="preserve"> </w:t>
      </w:r>
      <w:r>
        <w:t xml:space="preserve">Net 30 Days</w:t>
      </w:r>
    </w:p>
    <w:p>
      <w:pPr>
        <w:pStyle w:val="BodyText"/>
      </w:pPr>
      <w:r>
        <w:t xml:space="preserve">Reference:</w:t>
      </w:r>
      <w:r>
        <w:t xml:space="preserve"> </w:t>
      </w:r>
      <w:r>
        <w:t xml:space="preserve">Contract #TFG-2024-112</w:t>
      </w:r>
    </w:p>
    <w:p>
      <w:pPr>
        <w:pStyle w:val="BodyText"/>
      </w:pPr>
      <w:r>
        <w:t xml:space="preserve">Region:</w:t>
      </w:r>
      <w:r>
        <w:t xml:space="preserve"> </w:t>
      </w:r>
      <w:r>
        <w:t xml:space="preserve">Canada Toronto – Financial District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Amount (CAD)</w:t>
            </w:r>
          </w:p>
        </w:tc>
        <w:tc>
          <w:tcPr/>
          <w:p>
            <w:pPr>
              <w:pStyle w:val="Compact"/>
              <w:jc w:val="left"/>
            </w:pPr>
            <w:r>
              <w:t xml:space="preserve">Service Category</w:t>
            </w:r>
          </w:p>
        </w:tc>
      </w:tr>
      <w:tr>
        <w:tc>
          <w:tcPr/>
          <w:p>
            <w:pPr>
              <w:pStyle w:val="Compact"/>
              <w:jc w:val="left"/>
            </w:pPr>
            <w:r>
              <w:t xml:space="preserve">1</w:t>
            </w:r>
          </w:p>
        </w:tc>
        <w:tc>
          <w:tcPr/>
          <w:p>
            <w:pPr>
              <w:pStyle w:val="Compact"/>
              <w:jc w:val="left"/>
            </w:pPr>
            <w:r>
              <w:t xml:space="preserve">Comprehensive portfolio restructuring advisory for the Banker's corporate lending book, including risk assessment and compliance review under Canadian banking regulations.</w:t>
            </w:r>
          </w:p>
        </w:tc>
        <w:tc>
          <w:tcPr/>
          <w:p>
            <w:pPr>
              <w:pStyle w:val="Compact"/>
              <w:jc w:val="left"/>
            </w:pPr>
            <w:r>
              <w:t xml:space="preserve">$285.00</w:t>
            </w:r>
          </w:p>
        </w:tc>
        <w:tc>
          <w:tcPr/>
          <w:p>
            <w:pPr>
              <w:pStyle w:val="Compact"/>
              <w:jc w:val="left"/>
            </w:pPr>
            <w:r>
              <w:t xml:space="preserve">12.5</w:t>
            </w:r>
          </w:p>
        </w:tc>
        <w:tc>
          <w:tcPr/>
          <w:p>
            <w:pPr>
              <w:pStyle w:val="Compact"/>
              <w:jc w:val="left"/>
            </w:pPr>
            <w:r>
              <w:t xml:space="preserve">$3,562.50</w:t>
            </w:r>
          </w:p>
        </w:tc>
        <w:tc>
          <w:tcPr/>
          <w:p>
            <w:pPr>
              <w:pStyle w:val="Compact"/>
              <w:jc w:val="left"/>
            </w:pPr>
            <w:r>
              <w:t xml:space="preserve">Strategic Advisory</w:t>
            </w:r>
          </w:p>
        </w:tc>
      </w:tr>
      <w:tr>
        <w:tc>
          <w:tcPr/>
          <w:p>
            <w:pPr>
              <w:pStyle w:val="Compact"/>
              <w:jc w:val="left"/>
            </w:pPr>
            <w:r>
              <w:t xml:space="preserve">2</w:t>
            </w:r>
          </w:p>
        </w:tc>
        <w:tc>
          <w:tcPr/>
          <w:p>
            <w:pPr>
              <w:pStyle w:val="Compact"/>
              <w:jc w:val="left"/>
            </w:pPr>
            <w:r>
              <w:t xml:space="preserve">Regulatory compliance audit preparation for the Banker's division, ensuring alignment with the Office of the Superintendent of Financial Institutions (OSFI) guidelines applicable in Canada Toronto.</w:t>
            </w:r>
          </w:p>
        </w:tc>
        <w:tc>
          <w:tcPr/>
          <w:p>
            <w:pPr>
              <w:pStyle w:val="Compact"/>
              <w:jc w:val="left"/>
            </w:pPr>
            <w:r>
              <w:t xml:space="preserve">$310.00</w:t>
            </w:r>
          </w:p>
        </w:tc>
        <w:tc>
          <w:tcPr/>
          <w:p>
            <w:pPr>
              <w:pStyle w:val="Compact"/>
              <w:jc w:val="left"/>
            </w:pPr>
            <w:r>
              <w:t xml:space="preserve">8.0</w:t>
            </w:r>
          </w:p>
        </w:tc>
        <w:tc>
          <w:tcPr/>
          <w:p>
            <w:pPr>
              <w:pStyle w:val="Compact"/>
              <w:jc w:val="left"/>
            </w:pPr>
            <w:r>
              <w:t xml:space="preserve">$2,480.00</w:t>
            </w:r>
          </w:p>
        </w:tc>
        <w:tc>
          <w:tcPr/>
          <w:p>
            <w:pPr>
              <w:pStyle w:val="Compact"/>
              <w:jc w:val="left"/>
            </w:pPr>
            <w:r>
              <w:t xml:space="preserve">Compliance &amp; Audit</w:t>
            </w:r>
          </w:p>
        </w:tc>
      </w:tr>
      <w:tr>
        <w:tc>
          <w:tcPr/>
          <w:p>
            <w:pPr>
              <w:pStyle w:val="Compact"/>
              <w:jc w:val="left"/>
            </w:pPr>
            <w:r>
              <w:t xml:space="preserve">3</w:t>
            </w:r>
          </w:p>
        </w:tc>
        <w:tc>
          <w:tcPr/>
          <w:p>
            <w:pPr>
              <w:pStyle w:val="Compact"/>
              <w:jc w:val="left"/>
            </w:pPr>
            <w:r>
              <w:t xml:space="preserve">Quarterly financial performance analysis and forecasting for the Banker's assigned commercial client portfolio, delivered as a formal report with actionable recommendations.</w:t>
            </w:r>
          </w:p>
        </w:tc>
        <w:tc>
          <w:tcPr/>
          <w:p>
            <w:pPr>
              <w:pStyle w:val="Compact"/>
              <w:jc w:val="left"/>
            </w:pPr>
            <w:r>
              <w:t xml:space="preserve">$265.00</w:t>
            </w:r>
          </w:p>
        </w:tc>
        <w:tc>
          <w:tcPr/>
          <w:p>
            <w:pPr>
              <w:pStyle w:val="Compact"/>
              <w:jc w:val="left"/>
            </w:pPr>
            <w:r>
              <w:t xml:space="preserve">10.0</w:t>
            </w:r>
          </w:p>
        </w:tc>
        <w:tc>
          <w:tcPr/>
          <w:p>
            <w:pPr>
              <w:pStyle w:val="Compact"/>
              <w:jc w:val="left"/>
            </w:pPr>
            <w:r>
              <w:t xml:space="preserve">$2,650.00</w:t>
            </w:r>
          </w:p>
        </w:tc>
        <w:tc>
          <w:tcPr/>
          <w:p>
            <w:pPr>
              <w:pStyle w:val="Compact"/>
              <w:jc w:val="left"/>
            </w:pPr>
            <w:r>
              <w:t xml:space="preserve">Financial Analysis</w:t>
            </w:r>
          </w:p>
        </w:tc>
      </w:tr>
      <w:tr>
        <w:tc>
          <w:tcPr/>
          <w:p>
            <w:pPr>
              <w:pStyle w:val="Compact"/>
              <w:jc w:val="left"/>
            </w:pPr>
            <w:r>
              <w:t xml:space="preserve">4</w:t>
            </w:r>
          </w:p>
        </w:tc>
        <w:tc>
          <w:tcPr/>
          <w:p>
            <w:pPr>
              <w:pStyle w:val="Compact"/>
              <w:jc w:val="left"/>
            </w:pPr>
            <w:r>
              <w:t xml:space="preserve">One-on-one executive coaching sessions for the Banker focused on leadership development, negotiation strategy, and client relationship management within the Canada Toronto banking sector.</w:t>
            </w:r>
          </w:p>
        </w:tc>
        <w:tc>
          <w:tcPr/>
          <w:p>
            <w:pPr>
              <w:pStyle w:val="Compact"/>
              <w:jc w:val="left"/>
            </w:pPr>
            <w:r>
              <w:t xml:space="preserve">$350.00</w:t>
            </w:r>
          </w:p>
        </w:tc>
        <w:tc>
          <w:tcPr/>
          <w:p>
            <w:pPr>
              <w:pStyle w:val="Compact"/>
              <w:jc w:val="left"/>
            </w:pPr>
            <w:r>
              <w:t xml:space="preserve">4.0</w:t>
            </w:r>
          </w:p>
        </w:tc>
        <w:tc>
          <w:tcPr/>
          <w:p>
            <w:pPr>
              <w:pStyle w:val="Compact"/>
              <w:jc w:val="left"/>
            </w:pPr>
            <w:r>
              <w:t xml:space="preserve">$1,400.00</w:t>
            </w:r>
          </w:p>
        </w:tc>
        <w:tc>
          <w:tcPr/>
          <w:p>
            <w:pPr>
              <w:pStyle w:val="Compact"/>
              <w:jc w:val="left"/>
            </w:pPr>
            <w:r>
              <w:t xml:space="preserve">Executive Coaching</w:t>
            </w:r>
          </w:p>
        </w:tc>
      </w:tr>
      <w:tr>
        <w:tc>
          <w:tcPr/>
          <w:p>
            <w:pPr>
              <w:pStyle w:val="Compact"/>
              <w:jc w:val="left"/>
            </w:pPr>
            <w:r>
              <w:t xml:space="preserve">5</w:t>
            </w:r>
          </w:p>
        </w:tc>
        <w:tc>
          <w:tcPr/>
          <w:p>
            <w:pPr>
              <w:pStyle w:val="Compact"/>
              <w:jc w:val="left"/>
            </w:pPr>
            <w:r>
              <w:t xml:space="preserve">Technology integration consultation for the Banker's digital lending platform, including vendor evaluation, implementation roadmap, and data security assessment compliant with Canadian privacy legislation (PIPEDA).</w:t>
            </w:r>
          </w:p>
        </w:tc>
        <w:tc>
          <w:tcPr/>
          <w:p>
            <w:pPr>
              <w:pStyle w:val="Compact"/>
              <w:jc w:val="left"/>
            </w:pPr>
            <w:r>
              <w:t xml:space="preserve">$295.00</w:t>
            </w:r>
          </w:p>
        </w:tc>
        <w:tc>
          <w:tcPr/>
          <w:p>
            <w:pPr>
              <w:pStyle w:val="Compact"/>
              <w:jc w:val="left"/>
            </w:pPr>
            <w:r>
              <w:t xml:space="preserve">6.5</w:t>
            </w:r>
          </w:p>
        </w:tc>
        <w:tc>
          <w:tcPr/>
          <w:p>
            <w:pPr>
              <w:pStyle w:val="Compact"/>
              <w:jc w:val="left"/>
            </w:pPr>
            <w:r>
              <w:t xml:space="preserve">$1,917.50</w:t>
            </w:r>
          </w:p>
        </w:tc>
        <w:tc>
          <w:tcPr/>
          <w:p>
            <w:pPr>
              <w:pStyle w:val="Compact"/>
              <w:jc w:val="left"/>
            </w:pPr>
            <w:r>
              <w:t xml:space="preserve">Technology Advisory</w:t>
            </w:r>
          </w:p>
        </w:tc>
      </w:tr>
      <w:tr>
        <w:tc>
          <w:tcPr/>
          <w:p>
            <w:pPr>
              <w:pStyle w:val="Compact"/>
              <w:jc w:val="left"/>
            </w:pPr>
            <w:r>
              <w:t xml:space="preserve">6</w:t>
            </w:r>
          </w:p>
        </w:tc>
        <w:tc>
          <w:tcPr/>
          <w:p>
            <w:pPr>
              <w:pStyle w:val="Compact"/>
              <w:jc w:val="left"/>
            </w:pPr>
            <w:r>
              <w:t xml:space="preserve">Preparation and review of board presentation materials for the Banker's quarterly review, including market positioning analysis for the Canada Toronto metropolitan banking market.</w:t>
            </w:r>
          </w:p>
        </w:tc>
        <w:tc>
          <w:tcPr/>
          <w:p>
            <w:pPr>
              <w:pStyle w:val="Compact"/>
              <w:jc w:val="left"/>
            </w:pPr>
            <w:r>
              <w:t xml:space="preserve">$275.00</w:t>
            </w:r>
          </w:p>
        </w:tc>
        <w:tc>
          <w:tcPr/>
          <w:p>
            <w:pPr>
              <w:pStyle w:val="Compact"/>
              <w:jc w:val="left"/>
            </w:pPr>
            <w:r>
              <w:t xml:space="preserve">5.5</w:t>
            </w:r>
          </w:p>
        </w:tc>
        <w:tc>
          <w:tcPr/>
          <w:p>
            <w:pPr>
              <w:pStyle w:val="Compact"/>
              <w:jc w:val="left"/>
            </w:pPr>
            <w:r>
              <w:t xml:space="preserve">$1,512.50</w:t>
            </w:r>
          </w:p>
        </w:tc>
        <w:tc>
          <w:tcPr/>
          <w:p>
            <w:pPr>
              <w:pStyle w:val="Compact"/>
              <w:jc w:val="left"/>
            </w:pPr>
            <w:r>
              <w:t xml:space="preserve">Board Support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$13,522.50</w:t>
            </w:r>
          </w:p>
        </w:tc>
      </w:tr>
      <w:tr>
        <w:tc>
          <w:tcPr/>
          <w:p>
            <w:pPr>
              <w:pStyle w:val="Compact"/>
              <w:jc w:val="left"/>
            </w:pPr>
            <w:r>
              <w:t xml:space="preserve">Discount (Annual Contract – 5%)</w:t>
            </w:r>
          </w:p>
        </w:tc>
        <w:tc>
          <w:tcPr/>
          <w:p>
            <w:pPr>
              <w:pStyle w:val="Compact"/>
              <w:jc w:val="left"/>
            </w:pPr>
            <w:r>
              <w:t xml:space="preserve">-$676.13</w:t>
            </w:r>
          </w:p>
        </w:tc>
      </w:tr>
      <w:tr>
        <w:tc>
          <w:tcPr/>
          <w:p>
            <w:pPr>
              <w:pStyle w:val="Compact"/>
              <w:jc w:val="left"/>
            </w:pPr>
            <w:r>
              <w:t xml:space="preserve">Adjustable Tax (AT) 13% (Ontario HST)</w:t>
            </w:r>
          </w:p>
        </w:tc>
        <w:tc>
          <w:tcPr/>
          <w:p>
            <w:pPr>
              <w:pStyle w:val="Compact"/>
              <w:jc w:val="left"/>
            </w:pPr>
            <w:r>
              <w:t xml:space="preserve">$1,641.89</w:t>
            </w:r>
          </w:p>
        </w:tc>
      </w:tr>
      <w:tr>
        <w:tc>
          <w:tcPr/>
          <w:p>
            <w:pPr>
              <w:pStyle w:val="Compact"/>
              <w:jc w:val="left"/>
            </w:pPr>
            <w:r>
              <w:t xml:space="preserve">TOTAL DUE (CAD)</w:t>
            </w:r>
          </w:p>
        </w:tc>
        <w:tc>
          <w:tcPr/>
          <w:p>
            <w:pPr>
              <w:pStyle w:val="Compact"/>
              <w:jc w:val="left"/>
            </w:pPr>
            <w:r>
              <w:t xml:space="preserve">$14,488.26</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First National Bank of Canada</w:t>
      </w:r>
    </w:p>
    <w:p>
      <w:pPr>
        <w:pStyle w:val="BodyText"/>
      </w:pPr>
      <w:r>
        <w:rPr>
          <w:bCs/>
          <w:b/>
        </w:rPr>
        <w:t xml:space="preserve">Branch:</w:t>
      </w:r>
      <w:r>
        <w:t xml:space="preserve"> </w:t>
      </w:r>
      <w:r>
        <w:t xml:space="preserve">Toronto Head Office, 1 King St E</w:t>
      </w:r>
    </w:p>
    <w:p>
      <w:pPr>
        <w:pStyle w:val="BodyText"/>
      </w:pPr>
      <w:r>
        <w:rPr>
          <w:bCs/>
          <w:b/>
        </w:rPr>
        <w:t xml:space="preserve">Account Name:</w:t>
      </w:r>
      <w:r>
        <w:t xml:space="preserve"> </w:t>
      </w:r>
      <w:r>
        <w:t xml:space="preserve">Toronto Financial Advisory Group Inc.</w:t>
      </w:r>
    </w:p>
    <w:p>
      <w:pPr>
        <w:pStyle w:val="BodyText"/>
      </w:pPr>
      <w:r>
        <w:rPr>
          <w:bCs/>
          <w:b/>
        </w:rPr>
        <w:t xml:space="preserve">Transit No.:</w:t>
      </w:r>
      <w:r>
        <w:t xml:space="preserve"> </w:t>
      </w:r>
      <w:r>
        <w:t xml:space="preserve">00123</w:t>
      </w:r>
    </w:p>
    <w:p>
      <w:pPr>
        <w:pStyle w:val="BodyText"/>
      </w:pPr>
      <w:r>
        <w:rPr>
          <w:bCs/>
          <w:b/>
        </w:rPr>
        <w:t xml:space="preserve">Institution No.:</w:t>
      </w:r>
      <w:r>
        <w:t xml:space="preserve"> </w:t>
      </w:r>
      <w:r>
        <w:t xml:space="preserve">604</w:t>
      </w:r>
    </w:p>
    <w:p>
      <w:pPr>
        <w:pStyle w:val="BodyText"/>
      </w:pPr>
      <w:r>
        <w:rPr>
          <w:bCs/>
          <w:b/>
        </w:rPr>
        <w:t xml:space="preserve">Account No.:</w:t>
      </w:r>
      <w:r>
        <w:t xml:space="preserve"> </w:t>
      </w:r>
      <w:r>
        <w:t xml:space="preserve">4587291</w:t>
      </w:r>
    </w:p>
    <w:p>
      <w:pPr>
        <w:pStyle w:val="BodyText"/>
      </w:pPr>
      <w:r>
        <w:rPr>
          <w:bCs/>
          <w:b/>
        </w:rPr>
        <w:t xml:space="preserve">Reference:</w:t>
      </w:r>
      <w:r>
        <w:t xml:space="preserve"> </w:t>
      </w:r>
      <w:r>
        <w:t xml:space="preserve">TFG-2025-00487</w:t>
      </w:r>
    </w:p>
    <w:bookmarkEnd w:id="24"/>
    <w:bookmarkStart w:id="25" w:name="important-notices"/>
    <w:p>
      <w:pPr>
        <w:pStyle w:val="Heading4"/>
      </w:pPr>
      <w:r>
        <w:t xml:space="preserve">Important Notices</w:t>
      </w:r>
    </w:p>
    <w:p>
      <w:pPr>
        <w:pStyle w:val="FirstParagraph"/>
      </w:pPr>
      <w:r>
        <w:t xml:space="preserve">This Invoice is issued in accordance with the Canada Revenue Agency (CRA) invoicing requirements for taxable services rendered in the Province of Ontario, Canada Toronto.</w:t>
      </w:r>
    </w:p>
    <w:p>
      <w:pPr>
        <w:pStyle w:val="BodyText"/>
      </w:pPr>
      <w:r>
        <w:t xml:space="preserve">A late payment penalty of 1.5% per month will be applied to any balance outstanding beyond the due date of July 15, 2025.</w:t>
      </w:r>
    </w:p>
    <w:p>
      <w:pPr>
        <w:pStyle w:val="BodyText"/>
      </w:pPr>
      <w:r>
        <w:t xml:space="preserve">Please reference the Invoice number on all correspondence and remittances.</w:t>
      </w:r>
    </w:p>
    <w:bookmarkEnd w:id="25"/>
    <w:bookmarkStart w:id="26" w:name="additional-notes-and-terms"/>
    <w:p>
      <w:pPr>
        <w:pStyle w:val="Heading3"/>
      </w:pPr>
      <w:r>
        <w:t xml:space="preserve">Additional Notes and Terms</w:t>
      </w:r>
    </w:p>
    <w:p>
      <w:pPr>
        <w:pStyle w:val="FirstParagraph"/>
      </w:pPr>
      <w:r>
        <w:t xml:space="preserve">This Invoice covers professional advisory services rendered to Mr. Jonathan R. Whitfield, Senior Banker, during the month of May 2025. All services were performed in compliance with the professional standards established by the Canadian Securities Administrators and the Financial Planning Standards Council (FPSC) operating within Canada Toronto.</w:t>
      </w:r>
    </w:p>
    <w:p>
      <w:pPr>
        <w:pStyle w:val="BodyText"/>
      </w:pPr>
      <w:r>
        <w:t xml:space="preserve">The Banker acknowledges that all financial analyses, compliance reviews, and strategic recommendations provided under this engagement are advisory in nature and do not constitute a guarantee of financial outcomes. The Banker assumes full responsibility for all decisions made based upon the information and guidance furnished by Toronto Financial Advisory Group Inc.</w:t>
      </w:r>
    </w:p>
    <w:p>
      <w:pPr>
        <w:pStyle w:val="BodyText"/>
      </w:pPr>
      <w:r>
        <w:t xml:space="preserve">Confidentiality: All documents, data, and communications exchanged in connection with this Invoice and the underlying services are subject to the Non-Disclosure Agreement (NDA) executed on March 1, 2024, between the parties. Unauthorized disclosure of proprietary banking information is strictly prohibited under Canadian law.</w:t>
      </w:r>
    </w:p>
    <w:p>
      <w:pPr>
        <w:pStyle w:val="BodyText"/>
      </w:pPr>
      <w:r>
        <w:t xml:space="preserve">Dispute Resolution: Any disputes arising from this Invoice or the services described herein shall be resolved through mediation in accordance with the rules of the Toronto Arbitration Centre, located in Canada Toronto, before proceeding to litigation in the Superior Court of Ontario.</w:t>
      </w:r>
    </w:p>
    <w:p>
      <w:pPr>
        <w:pStyle w:val="BodyText"/>
      </w:pPr>
      <w:r>
        <w:t xml:space="preserve">Thank you for your continued partnership. We value the trust placed in us by the Banker and the broader financial community in Canada Toronto. Should you have any questions regarding this Invoice or require a detailed itemized breakdown of any line item, please do not hesitate to contact our billing department at billing@torontofinancial.ca or by telephone at +1 (416) 555-0187, Monday through Friday, 9:00 AM to 5:00 PM Eastern Time.</w:t>
      </w:r>
    </w:p>
    <w:bookmarkEnd w:id="26"/>
    <w:p>
      <w:pPr>
        <w:pStyle w:val="BodyText"/>
      </w:pPr>
      <w:r>
        <w:rPr>
          <w:bCs/>
          <w:b/>
        </w:rPr>
        <w:t xml:space="preserve">Toronto Financial Advisory Group Inc.</w:t>
      </w:r>
      <w:r>
        <w:t xml:space="preserve"> </w:t>
      </w:r>
      <w:r>
        <w:t xml:space="preserve">| 200 Bay Street, Suite 3400, Toronto, Ontario M5J 2J2, Canada</w:t>
      </w:r>
    </w:p>
    <w:p>
      <w:pPr>
        <w:pStyle w:val="BodyText"/>
      </w:pPr>
      <w:r>
        <w:t xml:space="preserve">Registered in the Province of Ontario, Canada | Business Number: 123456789RT0001 | GST/HST Registration: 123456789</w:t>
      </w:r>
    </w:p>
    <w:p>
      <w:pPr>
        <w:pStyle w:val="BodyText"/>
      </w:pPr>
      <w:r>
        <w:t xml:space="preserve">This Invoice was generated electronically and is valid without a physical signature. | Page 1 of 1</w:t>
      </w:r>
    </w:p>
    <w:p>
      <w:pPr>
        <w:pStyle w:val="BodyText"/>
      </w:pPr>
      <w:r>
        <w:t xml:space="preserve">© 2025 Toronto Financial Advisory Group Inc. All rights reserved. This document is the property of the issuing entity and is intended solely for the named Banker recipient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Canada Toronto</dc:title>
  <dc:creator/>
  <dc:language>en</dc:language>
  <cp:keywords/>
  <dcterms:created xsi:type="dcterms:W3CDTF">2026-10-10T06:44:22Z</dcterms:created>
  <dcterms:modified xsi:type="dcterms:W3CDTF">2026-10-10T06:44:22Z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