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capital-banker-advisory-group"/>
    <w:p>
      <w:pPr>
        <w:pStyle w:val="Heading1"/>
      </w:pPr>
      <w:r>
        <w:t xml:space="preserve">Beijing Capital Banker Advisory Group</w:t>
      </w:r>
    </w:p>
    <w:p>
      <w:pPr>
        <w:pStyle w:val="FirstParagraph"/>
      </w:pPr>
      <w:r>
        <w:t xml:space="preserve">Financial Services &amp; Banking Consultancy</w:t>
      </w:r>
    </w:p>
    <w:p>
      <w:pPr>
        <w:pStyle w:val="BodyText"/>
      </w:pPr>
      <w:r>
        <w:t xml:space="preserve">No. 88 Financial Street, Xicheng District</w:t>
      </w:r>
    </w:p>
    <w:p>
      <w:pPr>
        <w:pStyle w:val="BodyText"/>
      </w:pPr>
      <w:r>
        <w:t xml:space="preserve">Beijing, China 100033</w:t>
      </w:r>
    </w:p>
    <w:p>
      <w:pPr>
        <w:pStyle w:val="BodyText"/>
      </w:pPr>
      <w:r>
        <w:t xml:space="preserve">Tel: +86-10-8888-6666 | Email: billing@bjbanker.cn</w:t>
      </w:r>
    </w:p>
    <w:p>
      <w:pPr>
        <w:pStyle w:val="BodyText"/>
      </w:pPr>
      <w:r>
        <w:t xml:space="preserve">Unified Social Credit Code: 91110102MA01XK7B2F</w:t>
      </w:r>
    </w:p>
    <w:p>
      <w:pPr>
        <w:pStyle w:val="BodyText"/>
      </w:pPr>
      <w:r>
        <w:t xml:space="preserve">Licensed Banker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BJ-BNK-2025-04872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International Trade Co., Ltd.</w:t>
      </w:r>
    </w:p>
    <w:p>
      <w:pPr>
        <w:pStyle w:val="BodyText"/>
      </w:pPr>
      <w:r>
        <w:rPr>
          <w:bCs/>
          <w:b/>
        </w:rPr>
        <w:t xml:space="preserve">Address:</w:t>
      </w:r>
      <w:r>
        <w:t xml:space="preserve"> </w:t>
      </w:r>
      <w:r>
        <w:t xml:space="preserve">Tower B, China World Trade Center, No. 1 Jianguomenwai Avenue, Chaoyang District, Beijing, China 100020</w:t>
      </w:r>
    </w:p>
    <w:p>
      <w:pPr>
        <w:pStyle w:val="BodyText"/>
      </w:pPr>
      <w:r>
        <w:rPr>
          <w:bCs/>
          <w:b/>
        </w:rPr>
        <w:t xml:space="preserve">Contact Person:</w:t>
      </w:r>
      <w:r>
        <w:t xml:space="preserve"> </w:t>
      </w:r>
      <w:r>
        <w:t xml:space="preserve">Mr. Zhang Wei</w:t>
      </w:r>
    </w:p>
    <w:p>
      <w:pPr>
        <w:pStyle w:val="BodyText"/>
      </w:pPr>
      <w:r>
        <w:rPr>
          <w:bCs/>
          <w:b/>
        </w:rPr>
        <w:t xml:space="preserve">Phone:</w:t>
      </w:r>
      <w:r>
        <w:t xml:space="preserve"> </w:t>
      </w:r>
      <w:r>
        <w:t xml:space="preserve">+86-10-6555-2233</w:t>
      </w:r>
    </w:p>
    <w:p>
      <w:pPr>
        <w:pStyle w:val="BodyText"/>
      </w:pPr>
      <w:r>
        <w:rPr>
          <w:bCs/>
          <w:b/>
        </w:rPr>
        <w:t xml:space="preserve">Email:</w:t>
      </w:r>
      <w:r>
        <w:t xml:space="preserve"> </w:t>
      </w:r>
      <w:r>
        <w:t xml:space="preserve">finance@horizonintl.cn</w:t>
      </w:r>
    </w:p>
    <w:p>
      <w:pPr>
        <w:pStyle w:val="BodyText"/>
      </w:pPr>
      <w:r>
        <w:rPr>
          <w:bCs/>
          <w:b/>
        </w:rPr>
        <w:t xml:space="preserve">Tax ID:</w:t>
      </w:r>
      <w:r>
        <w:t xml:space="preserve"> </w:t>
      </w:r>
      <w:r>
        <w:t xml:space="preserve">91110105MA02YR3C8D</w:t>
      </w:r>
    </w:p>
    <w:bookmarkEnd w:id="22"/>
    <w:bookmarkStart w:id="23" w:name="issued-by-banker"/>
    <w:p>
      <w:pPr>
        <w:pStyle w:val="Heading3"/>
      </w:pPr>
      <w:r>
        <w:t xml:space="preserve">Issued By (Banker)</w:t>
      </w:r>
    </w:p>
    <w:p>
      <w:pPr>
        <w:pStyle w:val="FirstParagraph"/>
      </w:pPr>
      <w:r>
        <w:rPr>
          <w:bCs/>
          <w:b/>
        </w:rPr>
        <w:t xml:space="preserve">Banker Name:</w:t>
      </w:r>
      <w:r>
        <w:t xml:space="preserve"> </w:t>
      </w:r>
      <w:r>
        <w:t xml:space="preserve">Ms. Li Fang, CFA, CFP</w:t>
      </w:r>
    </w:p>
    <w:p>
      <w:pPr>
        <w:pStyle w:val="BodyText"/>
      </w:pPr>
      <w:r>
        <w:rPr>
          <w:bCs/>
          <w:b/>
        </w:rPr>
        <w:t xml:space="preserve">Title:</w:t>
      </w:r>
      <w:r>
        <w:t xml:space="preserve"> </w:t>
      </w:r>
      <w:r>
        <w:t xml:space="preserve">Senior Banker &amp; Lead Financial Advisor</w:t>
      </w:r>
    </w:p>
    <w:p>
      <w:pPr>
        <w:pStyle w:val="BodyText"/>
      </w:pPr>
      <w:r>
        <w:rPr>
          <w:bCs/>
          <w:b/>
        </w:rPr>
        <w:t xml:space="preserve">Firm:</w:t>
      </w:r>
      <w:r>
        <w:t xml:space="preserve"> </w:t>
      </w:r>
      <w:r>
        <w:t xml:space="preserve">Beijing Capital Banker Advisory Group</w:t>
      </w:r>
    </w:p>
    <w:p>
      <w:pPr>
        <w:pStyle w:val="BodyText"/>
      </w:pPr>
      <w:r>
        <w:rPr>
          <w:bCs/>
          <w:b/>
        </w:rPr>
        <w:t xml:space="preserve">Banker License No.:</w:t>
      </w:r>
      <w:r>
        <w:t xml:space="preserve"> </w:t>
      </w:r>
      <w:r>
        <w:t xml:space="preserve">CN-BNK-2019-004521</w:t>
      </w:r>
    </w:p>
    <w:p>
      <w:pPr>
        <w:pStyle w:val="BodyText"/>
      </w:pPr>
      <w:r>
        <w:rPr>
          <w:bCs/>
          <w:b/>
        </w:rPr>
        <w:t xml:space="preserve">Regulatory Body:</w:t>
      </w:r>
      <w:r>
        <w:t xml:space="preserve"> </w:t>
      </w:r>
      <w:r>
        <w:t xml:space="preserve">National Financial Regulatory Administration (NFRA), Beijing Branch</w:t>
      </w:r>
    </w:p>
    <w:p>
      <w:pPr>
        <w:pStyle w:val="BodyText"/>
      </w:pPr>
      <w:r>
        <w:rPr>
          <w:bCs/>
          <w:b/>
        </w:rPr>
        <w:t xml:space="preserve">Banker Registration:</w:t>
      </w:r>
      <w:r>
        <w:t xml:space="preserve"> </w:t>
      </w:r>
      <w:r>
        <w:t xml:space="preserve">PBOC Beijing Municipal Office</w:t>
      </w:r>
    </w:p>
    <w:bookmarkEnd w:id="23"/>
    <w:bookmarkStart w:id="24" w:name="X5607149058c9c53c56793c87f9511afa4f6141e"/>
    <w:p>
      <w:pPr>
        <w:pStyle w:val="Heading3"/>
      </w:pPr>
      <w:r>
        <w:t xml:space="preserve">Description of Banker Services Rendered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corporate banking account restructuring and optimization for multi-currency operations in China Beijing financial district</w:t>
            </w:r>
          </w:p>
        </w:tc>
        <w:tc>
          <w:tcPr/>
          <w:p>
            <w:pPr>
              <w:pStyle w:val="Compact"/>
              <w:jc w:val="left"/>
            </w:pPr>
            <w:r>
              <w:t xml:space="preserve">May 01 – May 10,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Banker-led treasury management consultation including foreign exchange hedging strategies compliant with SAFE regulations in Beijing</w:t>
            </w:r>
          </w:p>
        </w:tc>
        <w:tc>
          <w:tcPr/>
          <w:p>
            <w:pPr>
              <w:pStyle w:val="Compact"/>
              <w:jc w:val="left"/>
            </w:pPr>
            <w:r>
              <w:t xml:space="preserve">May 12 – May 20, 2025</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3</w:t>
            </w:r>
          </w:p>
        </w:tc>
        <w:tc>
          <w:tcPr/>
          <w:p>
            <w:pPr>
              <w:pStyle w:val="Compact"/>
              <w:jc w:val="left"/>
            </w:pPr>
            <w:r>
              <w:t xml:space="preserve">Trade finance advisory and letter of credit facilitation for import/export operations through licensed banks in China Beijing</w:t>
            </w:r>
          </w:p>
        </w:tc>
        <w:tc>
          <w:tcPr/>
          <w:p>
            <w:pPr>
              <w:pStyle w:val="Compact"/>
              <w:jc w:val="left"/>
            </w:pPr>
            <w:r>
              <w:t xml:space="preserve">May 22 – May 30, 2025</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Regulatory compliance review and filing preparation with the People's Bank of China (PBOC) Beijing Municipal Branch for cross-border capital flows</w:t>
            </w:r>
          </w:p>
        </w:tc>
        <w:tc>
          <w:tcPr/>
          <w:p>
            <w:pPr>
              <w:pStyle w:val="Compact"/>
              <w:jc w:val="left"/>
            </w:pPr>
            <w:r>
              <w:t xml:space="preserve">June 01 – June 05,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Quarterly financial reporting and banker certification of accounts for audit purposes under Chinese Accounting Standards (CAS)</w:t>
            </w:r>
          </w:p>
        </w:tc>
        <w:tc>
          <w:tcPr/>
          <w:p>
            <w:pPr>
              <w:pStyle w:val="Compact"/>
              <w:jc w:val="left"/>
            </w:pPr>
            <w:r>
              <w:t xml:space="preserve">June 08 – June 12,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On-site banker advisory session at client premises in Chaoyang District, Beijing for strategic banking relationship review</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177,000.00 CNY</w:t>
            </w:r>
          </w:p>
        </w:tc>
      </w:tr>
      <w:tr>
        <w:tc>
          <w:tcPr/>
          <w:p>
            <w:pPr>
              <w:pStyle w:val="Compact"/>
              <w:jc w:val="left"/>
            </w:pPr>
            <w:r>
              <w:t xml:space="preserve">VAT (6% Service Tax)</w:t>
            </w:r>
          </w:p>
        </w:tc>
        <w:tc>
          <w:tcPr/>
          <w:p>
            <w:pPr>
              <w:pStyle w:val="Compact"/>
              <w:jc w:val="right"/>
            </w:pPr>
            <w:r>
              <w:t xml:space="preserve">10,620.00 CNY</w:t>
            </w:r>
          </w:p>
        </w:tc>
      </w:tr>
      <w:tr>
        <w:tc>
          <w:tcPr/>
          <w:p>
            <w:pPr>
              <w:pStyle w:val="Compact"/>
              <w:jc w:val="left"/>
            </w:pPr>
            <w:r>
              <w:t xml:space="preserve">Applicable Surcharges (Beijing Municipal)</w:t>
            </w:r>
          </w:p>
        </w:tc>
        <w:tc>
          <w:tcPr/>
          <w:p>
            <w:pPr>
              <w:pStyle w:val="Compact"/>
              <w:jc w:val="right"/>
            </w:pPr>
            <w:r>
              <w:t xml:space="preserve">1,239.40 CNY</w:t>
            </w:r>
          </w:p>
        </w:tc>
      </w:tr>
      <w:tr>
        <w:tc>
          <w:tcPr/>
          <w:p>
            <w:pPr>
              <w:pStyle w:val="Compact"/>
              <w:jc w:val="left"/>
            </w:pPr>
            <w:r>
              <w:t xml:space="preserve">GRAND TOTAL DUE</w:t>
            </w:r>
          </w:p>
        </w:tc>
        <w:tc>
          <w:tcPr/>
          <w:p>
            <w:pPr>
              <w:pStyle w:val="Compact"/>
              <w:jc w:val="right"/>
            </w:pPr>
            <w:r>
              <w:t xml:space="preserve">188,859.40 CNY</w:t>
            </w:r>
          </w:p>
        </w:tc>
      </w:tr>
    </w:tbl>
    <w:p>
      <w:pPr>
        <w:pStyle w:val="BodyText"/>
      </w:pPr>
      <w:r>
        <w:rPr>
          <w:bCs/>
          <w:b/>
        </w:rPr>
        <w:t xml:space="preserve">Payment Instructions:</w:t>
      </w:r>
      <w:r>
        <w:t xml:space="preserve"> </w:t>
      </w:r>
      <w:r>
        <w:t xml:space="preserve">This Invoice must be settled in Chinese Yuan (CNY) via bank transfer to the following account: Beijing Capital Banker Advisory Group, Industrial and Commercial Bank of China (ICBC), Beijing Financial Street Branch. Account No.: 0200 0045 0908 8812 345. Please reference Invoice No. BJ-BNK-2025-04872 in the transfer remarks. All payments are subject to the Foreign Exchange Management Regulations of the People's Republic of China. International remittances must be processed through licensed banks in China Beijing and may require additional documentation as per State Administration of Foreign Exchange (SAFE) guidelines.</w:t>
      </w:r>
    </w:p>
    <w:bookmarkEnd w:id="24"/>
    <w:bookmarkStart w:id="25" w:name="terms-conditions-regulatory-notes"/>
    <w:p>
      <w:pPr>
        <w:pStyle w:val="Heading3"/>
      </w:pPr>
      <w:r>
        <w:t xml:space="preserve">Terms, Conditions &amp; Regulatory Notes</w:t>
      </w:r>
    </w:p>
    <w:p>
      <w:pPr>
        <w:numPr>
          <w:ilvl w:val="0"/>
          <w:numId w:val="1001"/>
        </w:numPr>
        <w:pStyle w:val="Compact"/>
      </w:pPr>
      <w:r>
        <w:t xml:space="preserve">This Invoice represents a formal billing document for professional Banker services rendered by a licensed financial advisor operating under the regulatory framework of the National Financial Regulatory Administration (NFRA) in China Beijing.</w:t>
      </w:r>
    </w:p>
    <w:p>
      <w:pPr>
        <w:numPr>
          <w:ilvl w:val="0"/>
          <w:numId w:val="1001"/>
        </w:numPr>
        <w:pStyle w:val="Compact"/>
      </w:pPr>
      <w:r>
        <w:t xml:space="preserve">All Banker services described herein were performed in full compliance with the Banking Law of the People's Republic of China, the Foreign Exchange Administration Regulations, and applicable local ordinances of the Beijing Municipal People's Government.</w:t>
      </w:r>
    </w:p>
    <w:p>
      <w:pPr>
        <w:numPr>
          <w:ilvl w:val="0"/>
          <w:numId w:val="1001"/>
        </w:numPr>
        <w:pStyle w:val="Compact"/>
      </w:pPr>
      <w:r>
        <w:t xml:space="preserve">The Banker, Ms. Li Fang, holds a valid professional license issued by the PBOC Beijing Municipal Office and is registered with the China Banking Association. Her services are covered under professional liability insurance policy No. PICC-2025-BJ-77821.</w:t>
      </w:r>
    </w:p>
    <w:p>
      <w:pPr>
        <w:numPr>
          <w:ilvl w:val="0"/>
          <w:numId w:val="1001"/>
        </w:numPr>
        <w:pStyle w:val="Compact"/>
      </w:pPr>
      <w:r>
        <w:t xml:space="preserve">Payment is due within thirty (30) calendar days from the Issue Date stated on this Invoice. Late payments shall accrue interest at a rate of 0.05% per day in accordance with Chinese commercial practice and the Civil Code of the People's Republic of China.</w:t>
      </w:r>
    </w:p>
    <w:p>
      <w:pPr>
        <w:numPr>
          <w:ilvl w:val="0"/>
          <w:numId w:val="1001"/>
        </w:numPr>
        <w:pStyle w:val="Compact"/>
      </w:pPr>
      <w:r>
        <w:t xml:space="preserve">This Invoice is valid for a period of one hundred eighty (180) days from the date of issue. After this period, the Invoice shall be considered void and a new billing document must be generated by the Banker's office in China Beijing.</w:t>
      </w:r>
    </w:p>
    <w:p>
      <w:pPr>
        <w:numPr>
          <w:ilvl w:val="0"/>
          <w:numId w:val="1001"/>
        </w:numPr>
        <w:pStyle w:val="Compact"/>
      </w:pPr>
      <w:r>
        <w:t xml:space="preserve">All financial data, client information, and banking records referenced in this Invoice are subject to the Personal Information Protection Law (PIPL) of the People's Republic of China and the Data Security Law. Unauthorized disclosure is strictly prohibited.</w:t>
      </w:r>
    </w:p>
    <w:p>
      <w:pPr>
        <w:numPr>
          <w:ilvl w:val="0"/>
          <w:numId w:val="1001"/>
        </w:numPr>
        <w:pStyle w:val="Compact"/>
      </w:pPr>
      <w:r>
        <w:t xml:space="preserve">Disputes arising from this Invoice shall be resolved through arbitration at the Beijing Arbitration Commission (BAC) in accordance with its arbitration rules. The governing law for this Invoice is the law of the People's Republic of China.</w:t>
      </w:r>
    </w:p>
    <w:p>
      <w:pPr>
        <w:numPr>
          <w:ilvl w:val="0"/>
          <w:numId w:val="1001"/>
        </w:numPr>
        <w:pStyle w:val="Compact"/>
      </w:pPr>
      <w:r>
        <w:t xml:space="preserve">The Banker reserves the right to conduct follow-up compliance verification as required by anti-money laundering (AML) regulations enforced by the People's Bank of China. The client agrees to provide any additional documentation reasonably requested.</w:t>
      </w:r>
    </w:p>
    <w:p>
      <w:pPr>
        <w:numPr>
          <w:ilvl w:val="0"/>
          <w:numId w:val="1001"/>
        </w:numPr>
        <w:pStyle w:val="Compact"/>
      </w:pPr>
      <w:r>
        <w:t xml:space="preserve">This Invoice is issued in one (1) original copy. Electronic copies transmitted via secure channels are considered valid under the Electronic Signature Law of the PRC.</w:t>
      </w:r>
    </w:p>
    <w:bookmarkEnd w:id="25"/>
    <w:p>
      <w:pPr>
        <w:pStyle w:val="FirstParagraph"/>
      </w:pPr>
      <w:r>
        <w:rPr>
          <w:bCs/>
          <w:b/>
        </w:rPr>
        <w:t xml:space="preserve">Beijing Capital Banker Advisory Group</w:t>
      </w:r>
      <w:r>
        <w:t xml:space="preserve"> </w:t>
      </w:r>
      <w:r>
        <w:t xml:space="preserve">| No. 88 Financial Street, Xicheng District, Beijing, China 100033</w:t>
      </w:r>
    </w:p>
    <w:p>
      <w:pPr>
        <w:pStyle w:val="BodyText"/>
      </w:pPr>
      <w:r>
        <w:t xml:space="preserve">This Invoice was prepared and authorized by the undersigned Banker in accordance with all applicable financial regulations in China Beijing.</w:t>
      </w:r>
    </w:p>
    <w:p>
      <w:pPr>
        <w:pStyle w:val="BodyText"/>
      </w:pPr>
      <w:r>
        <w:rPr>
          <w:bCs/>
          <w:b/>
        </w:rPr>
        <w:t xml:space="preserve">Authorized Banker Signature:</w:t>
      </w:r>
      <w:r>
        <w:t xml:space="preserve"> </w:t>
      </w:r>
      <w:r>
        <w:t xml:space="preserve">___________________________   </w:t>
      </w:r>
      <w:r>
        <w:t xml:space="preserve"> </w:t>
      </w:r>
      <w:r>
        <w:rPr>
          <w:bCs/>
          <w:b/>
        </w:rPr>
        <w:t xml:space="preserve">Date:</w:t>
      </w:r>
      <w:r>
        <w:t xml:space="preserve"> </w:t>
      </w:r>
      <w:r>
        <w:t xml:space="preserve">June 15, 2025</w:t>
      </w:r>
    </w:p>
    <w:p>
      <w:pPr>
        <w:pStyle w:val="BodyText"/>
      </w:pPr>
      <w:r>
        <w:t xml:space="preserve">Ms. Li Fang, CFA, CFP — Senior Banker, License No. CN-BNK-2019-004521</w:t>
      </w:r>
    </w:p>
    <w:p>
      <w:pPr>
        <w:pStyle w:val="BodyText"/>
      </w:pPr>
      <w:r>
        <w:t xml:space="preserve">© 2025 Beijing Capital Banker Advisory Group. All rights reserved. This Invoice document is the property of the issuing Banker and may not be reproduced without written consent. Invoice No. BJ-BNK-2025-04872.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China Beijing</dc:title>
  <dc:creator/>
  <dc:language>en</dc:language>
  <cp:keywords/>
  <dcterms:created xsi:type="dcterms:W3CDTF">2026-10-10T06:14:06Z</dcterms:created>
  <dcterms:modified xsi:type="dcterms:W3CDTF">2026-10-10T06:14:06Z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