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China</w:t>
      </w:r>
      <w:r>
        <w:t xml:space="preserve"> </w:t>
      </w:r>
      <w:r>
        <w:t xml:space="preserve">Guangzhou</w:t>
      </w:r>
    </w:p>
    <w:p>
      <w:pPr>
        <w:pStyle w:val="FirstParagraph"/>
      </w:pPr>
      <w:r>
        <w:t xml:space="preserve">INVOICE</w:t>
      </w:r>
    </w:p>
    <w:p>
      <w:pPr>
        <w:pStyle w:val="BodyText"/>
      </w:pPr>
      <w:r>
        <w:t xml:space="preserve">BANKING SERVICES</w:t>
      </w:r>
    </w:p>
    <w:p>
      <w:pPr>
        <w:pStyle w:val="BodyText"/>
      </w:pPr>
      <w:r>
        <w:rPr>
          <w:bCs/>
          <w:b/>
        </w:rPr>
        <w:t xml:space="preserve">Invoice No.:</w:t>
      </w:r>
      <w:r>
        <w:t xml:space="preserve"> </w:t>
      </w:r>
      <w:r>
        <w:t xml:space="preserve">GZB-2025-04871</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Location:</w:t>
      </w:r>
      <w:r>
        <w:t xml:space="preserve"> </w:t>
      </w:r>
      <w:r>
        <w:t xml:space="preserve">China Guangzhou</w:t>
      </w:r>
    </w:p>
    <w:p>
      <w:pPr>
        <w:pStyle w:val="BodyText"/>
      </w:pPr>
      <w:r>
        <w:rPr>
          <w:bCs/>
          <w:b/>
        </w:rPr>
        <w:t xml:space="preserve">Currency:</w:t>
      </w:r>
      <w:r>
        <w:t xml:space="preserve"> </w:t>
      </w:r>
      <w:r>
        <w:t xml:space="preserve">CNY (RMB)</w:t>
      </w:r>
    </w:p>
    <w:bookmarkStart w:id="20" w:name="issued-by-banker"/>
    <w:p>
      <w:pPr>
        <w:pStyle w:val="Heading3"/>
      </w:pPr>
      <w:r>
        <w:t xml:space="preserve">Issued By (Banker)</w:t>
      </w:r>
    </w:p>
    <w:p>
      <w:pPr>
        <w:pStyle w:val="FirstParagraph"/>
      </w:pPr>
      <w:r>
        <w:rPr>
          <w:bCs/>
          <w:b/>
        </w:rPr>
        <w:t xml:space="preserve">Chen Wei, Senior Banker</w:t>
      </w:r>
    </w:p>
    <w:p>
      <w:pPr>
        <w:pStyle w:val="BodyText"/>
      </w:pPr>
      <w:r>
        <w:t xml:space="preserve">Guangzhou International Banking Group</w:t>
      </w:r>
    </w:p>
    <w:p>
      <w:pPr>
        <w:pStyle w:val="BodyText"/>
      </w:pPr>
      <w:r>
        <w:t xml:space="preserve">Tower A, 388 Tianhe Road</w:t>
      </w:r>
    </w:p>
    <w:p>
      <w:pPr>
        <w:pStyle w:val="BodyText"/>
      </w:pPr>
      <w:r>
        <w:t xml:space="preserve">Tianhe District, China Guangzhou</w:t>
      </w:r>
    </w:p>
    <w:p>
      <w:pPr>
        <w:pStyle w:val="BodyText"/>
      </w:pPr>
      <w:r>
        <w:t xml:space="preserve">Guangdong Province, PRC 510620</w:t>
      </w:r>
    </w:p>
    <w:p>
      <w:pPr>
        <w:pStyle w:val="BodyText"/>
      </w:pPr>
      <w:r>
        <w:t xml:space="preserve">Tel: +86-20-8876-5432</w:t>
      </w:r>
    </w:p>
    <w:p>
      <w:pPr>
        <w:pStyle w:val="BodyText"/>
      </w:pPr>
      <w:r>
        <w:t xml:space="preserve">Email: c.wei@gzibank.cn</w:t>
      </w:r>
    </w:p>
    <w:p>
      <w:pPr>
        <w:pStyle w:val="BodyText"/>
      </w:pPr>
      <w:r>
        <w:t xml:space="preserve">Banker License No.: GZ-BLK-2019-0042</w:t>
      </w:r>
    </w:p>
    <w:bookmarkEnd w:id="20"/>
    <w:bookmarkStart w:id="21" w:name="billed-to-client"/>
    <w:p>
      <w:pPr>
        <w:pStyle w:val="Heading3"/>
      </w:pPr>
      <w:r>
        <w:t xml:space="preserve">Billed To (Client)</w:t>
      </w:r>
    </w:p>
    <w:p>
      <w:pPr>
        <w:pStyle w:val="FirstParagraph"/>
      </w:pPr>
      <w:r>
        <w:rPr>
          <w:bCs/>
          <w:b/>
        </w:rPr>
        <w:t xml:space="preserve">Guangzhou Pacific Trading Co., Ltd.</w:t>
      </w:r>
    </w:p>
    <w:p>
      <w:pPr>
        <w:pStyle w:val="BodyText"/>
      </w:pPr>
      <w:r>
        <w:t xml:space="preserve">Attn: Mr. Liang Zhong, CFO</w:t>
      </w:r>
    </w:p>
    <w:p>
      <w:pPr>
        <w:pStyle w:val="BodyText"/>
      </w:pPr>
      <w:r>
        <w:t xml:space="preserve">Building 12, Zhujiang New Town</w:t>
      </w:r>
    </w:p>
    <w:p>
      <w:pPr>
        <w:pStyle w:val="BodyText"/>
      </w:pPr>
      <w:r>
        <w:t xml:space="preserve">Tianhe District, China Guangzhou</w:t>
      </w:r>
    </w:p>
    <w:p>
      <w:pPr>
        <w:pStyle w:val="BodyText"/>
      </w:pPr>
      <w:r>
        <w:t xml:space="preserve">Guangdong Province, PRC 510663</w:t>
      </w:r>
    </w:p>
    <w:p>
      <w:pPr>
        <w:pStyle w:val="BodyText"/>
      </w:pPr>
      <w:r>
        <w:t xml:space="preserve">Tel: +86-20-3891-2200</w:t>
      </w:r>
    </w:p>
    <w:p>
      <w:pPr>
        <w:pStyle w:val="BodyText"/>
      </w:pPr>
      <w:r>
        <w:t xml:space="preserve">Email: finance@gzpacifict.com</w:t>
      </w:r>
    </w:p>
    <w:p>
      <w:pPr>
        <w:pStyle w:val="BodyText"/>
      </w:pPr>
      <w:r>
        <w:t xml:space="preserve">Tax ID: 91440101MA5C8X2K7P</w:t>
      </w:r>
    </w:p>
    <w:bookmarkEnd w:id="21"/>
    <w:bookmarkStart w:id="24" w:name="X8b8de2e162b31f1584c5b8e39583c82949aec54"/>
    <w:p>
      <w:pPr>
        <w:pStyle w:val="Heading2"/>
      </w:pPr>
      <w:r>
        <w:t xml:space="preserve">Invoice Line Items – Banking Services Rendered in China Guangzhou</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Corporate Account Management &amp; Advisory – The assigned Banker provided ongoing management of the client's multi-currency corporate accounts held at the Guangzhou branch, including daily reconciliation, liquidity monitoring, and strategic cash-flow advisory tailored to the China Guangzhou market conditions.</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2</w:t>
            </w:r>
          </w:p>
        </w:tc>
        <w:tc>
          <w:tcPr/>
          <w:p>
            <w:pPr>
              <w:pStyle w:val="Compact"/>
              <w:jc w:val="left"/>
            </w:pPr>
            <w:r>
              <w:t xml:space="preserve">Trade Finance &amp; Letter of Credit Issuance – The Banker facilitated the issuance and negotiation of 14 Letters of Credit for import/export transactions between the client and overseas partners, ensuring compliance with PBOC regulations applicable in China Guangzhou.</w:t>
            </w:r>
          </w:p>
        </w:tc>
        <w:tc>
          <w:tcPr/>
          <w:p>
            <w:pPr>
              <w:pStyle w:val="Compact"/>
              <w:jc w:val="left"/>
            </w:pPr>
            <w:r>
              <w:t xml:space="preserve">Jan – Jun 2025</w:t>
            </w:r>
          </w:p>
        </w:tc>
        <w:tc>
          <w:tcPr/>
          <w:p>
            <w:pPr>
              <w:pStyle w:val="Compact"/>
              <w:jc w:val="left"/>
            </w:pPr>
            <w:r>
              <w:t xml:space="preserve">14 LCs</w:t>
            </w:r>
          </w:p>
        </w:tc>
        <w:tc>
          <w:tcPr/>
          <w:p>
            <w:pPr>
              <w:pStyle w:val="Compact"/>
              <w:jc w:val="left"/>
            </w:pPr>
            <w:r>
              <w:t xml:space="preserve">8,200.00</w:t>
            </w:r>
          </w:p>
        </w:tc>
        <w:tc>
          <w:tcPr/>
          <w:p>
            <w:pPr>
              <w:pStyle w:val="Compact"/>
              <w:jc w:val="left"/>
            </w:pPr>
            <w:r>
              <w:t xml:space="preserve">114,800.00</w:t>
            </w:r>
          </w:p>
        </w:tc>
      </w:tr>
      <w:tr>
        <w:tc>
          <w:tcPr/>
          <w:p>
            <w:pPr>
              <w:pStyle w:val="Compact"/>
              <w:jc w:val="left"/>
            </w:pPr>
            <w:r>
              <w:t xml:space="preserve">3</w:t>
            </w:r>
          </w:p>
        </w:tc>
        <w:tc>
          <w:tcPr/>
          <w:p>
            <w:pPr>
              <w:pStyle w:val="Compact"/>
              <w:jc w:val="left"/>
            </w:pPr>
            <w:r>
              <w:t xml:space="preserve">Foreign Exchange Consultation &amp; Hedging – The Banker executed 22 forward FX contracts and provided weekly hedging strategy sessions to protect the client's USD/CNY and EUR/CNY exposure, a critical service for enterprises operating in the China Guangzhou trade corridor.</w:t>
            </w:r>
          </w:p>
        </w:tc>
        <w:tc>
          <w:tcPr/>
          <w:p>
            <w:pPr>
              <w:pStyle w:val="Compact"/>
              <w:jc w:val="left"/>
            </w:pPr>
            <w:r>
              <w:t xml:space="preserve">Jan – Jun 2025</w:t>
            </w:r>
          </w:p>
        </w:tc>
        <w:tc>
          <w:tcPr/>
          <w:p>
            <w:pPr>
              <w:pStyle w:val="Compact"/>
              <w:jc w:val="left"/>
            </w:pPr>
            <w:r>
              <w:t xml:space="preserve">22 contracts</w:t>
            </w:r>
          </w:p>
        </w:tc>
        <w:tc>
          <w:tcPr/>
          <w:p>
            <w:pPr>
              <w:pStyle w:val="Compact"/>
              <w:jc w:val="left"/>
            </w:pPr>
            <w:r>
              <w:t xml:space="preserve">3,600.00</w:t>
            </w:r>
          </w:p>
        </w:tc>
        <w:tc>
          <w:tcPr/>
          <w:p>
            <w:pPr>
              <w:pStyle w:val="Compact"/>
              <w:jc w:val="left"/>
            </w:pPr>
            <w:r>
              <w:t xml:space="preserve">79,200.00</w:t>
            </w:r>
          </w:p>
        </w:tc>
      </w:tr>
      <w:tr>
        <w:tc>
          <w:tcPr/>
          <w:p>
            <w:pPr>
              <w:pStyle w:val="Compact"/>
              <w:jc w:val="left"/>
            </w:pPr>
            <w:r>
              <w:t xml:space="preserve">4</w:t>
            </w:r>
          </w:p>
        </w:tc>
        <w:tc>
          <w:tcPr/>
          <w:p>
            <w:pPr>
              <w:pStyle w:val="Compact"/>
              <w:jc w:val="left"/>
            </w:pPr>
            <w:r>
              <w:t xml:space="preserve">Loan Structuring &amp; Syndication Advisory – The Banker structured a 50-million CNY working-capital facility and coordinated a three-bank syndication among institutions registered in China Guangzhou, including term-sheet preparation, credit analysis, and closing documentation.</w:t>
            </w:r>
          </w:p>
        </w:tc>
        <w:tc>
          <w:tcPr/>
          <w:p>
            <w:pPr>
              <w:pStyle w:val="Compact"/>
              <w:jc w:val="left"/>
            </w:pPr>
            <w:r>
              <w:t xml:space="preserve">Mar – May 2025</w:t>
            </w:r>
          </w:p>
        </w:tc>
        <w:tc>
          <w:tcPr/>
          <w:p>
            <w:pPr>
              <w:pStyle w:val="Compact"/>
              <w:jc w:val="left"/>
            </w:pPr>
            <w:r>
              <w:t xml:space="preserve">1 engagement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5</w:t>
            </w:r>
          </w:p>
        </w:tc>
        <w:tc>
          <w:tcPr/>
          <w:p>
            <w:pPr>
              <w:pStyle w:val="Compact"/>
              <w:jc w:val="left"/>
            </w:pPr>
            <w:r>
              <w:t xml:space="preserve">Regulatory Compliance &amp; AML Reporting – The Banker prepared and submitted quarterly Anti-Money-Laundering reports, conducted enhanced due diligence on 8 new corporate counterparties, and ensured all transactions met the regulatory standards enforced by the National Financial Regulatory Administration for operations in China Guangzhou.</w:t>
            </w:r>
          </w:p>
        </w:tc>
        <w:tc>
          <w:tcPr/>
          <w:p>
            <w:pPr>
              <w:pStyle w:val="Compact"/>
              <w:jc w:val="left"/>
            </w:pPr>
            <w:r>
              <w:t xml:space="preserve">Jan – Jun 2025</w:t>
            </w:r>
          </w:p>
        </w:tc>
        <w:tc>
          <w:tcPr/>
          <w:p>
            <w:pPr>
              <w:pStyle w:val="Compact"/>
              <w:jc w:val="left"/>
            </w:pPr>
            <w:r>
              <w:t xml:space="preserve">2 quarters</w:t>
            </w:r>
          </w:p>
        </w:tc>
        <w:tc>
          <w:tcPr/>
          <w:p>
            <w:pPr>
              <w:pStyle w:val="Compact"/>
              <w:jc w:val="left"/>
            </w:pPr>
            <w:r>
              <w:t xml:space="preserve">18,000.00</w:t>
            </w:r>
          </w:p>
        </w:tc>
        <w:tc>
          <w:tcPr/>
          <w:p>
            <w:pPr>
              <w:pStyle w:val="Compact"/>
              <w:jc w:val="left"/>
            </w:pPr>
            <w:r>
              <w:t xml:space="preserve">36,000.00</w:t>
            </w:r>
          </w:p>
        </w:tc>
      </w:tr>
      <w:tr>
        <w:tc>
          <w:tcPr/>
          <w:p>
            <w:pPr>
              <w:pStyle w:val="Compact"/>
              <w:jc w:val="left"/>
            </w:pPr>
            <w:r>
              <w:t xml:space="preserve">6</w:t>
            </w:r>
          </w:p>
        </w:tc>
        <w:tc>
          <w:tcPr/>
          <w:p>
            <w:pPr>
              <w:pStyle w:val="Compact"/>
              <w:jc w:val="left"/>
            </w:pPr>
            <w:r>
              <w:t xml:space="preserve">Digital Banking Onboarding &amp; API Integration – The Banker oversaw the client's migration to the bank's open-API platform, enabling real-time payment initiation, balance inquiry, and transaction reporting directly from the client's ERP system deployed in their China Guangzhou headquarters.</w:t>
            </w:r>
          </w:p>
        </w:tc>
        <w:tc>
          <w:tcPr/>
          <w:p>
            <w:pPr>
              <w:pStyle w:val="Compact"/>
              <w:jc w:val="left"/>
            </w:pPr>
            <w:r>
              <w:t xml:space="preserve">Apr – Jun 2025</w:t>
            </w:r>
          </w:p>
        </w:tc>
        <w:tc>
          <w:tcPr/>
          <w:p>
            <w:pPr>
              <w:pStyle w:val="Compact"/>
              <w:jc w:val="left"/>
            </w:pPr>
            <w:r>
              <w:t xml:space="preserve">1 project</w:t>
            </w:r>
          </w:p>
        </w:tc>
        <w:tc>
          <w:tcPr/>
          <w:p>
            <w:pPr>
              <w:pStyle w:val="Compact"/>
              <w:jc w:val="left"/>
            </w:pPr>
            <w:r>
              <w:t xml:space="preserve">96,000.00</w:t>
            </w:r>
          </w:p>
        </w:tc>
        <w:tc>
          <w:tcPr/>
          <w:p>
            <w:pPr>
              <w:pStyle w:val="Compact"/>
              <w:jc w:val="left"/>
            </w:pPr>
            <w:r>
              <w:t xml:space="preserve">96,000.00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586,000.00</w:t>
            </w:r>
          </w:p>
        </w:tc>
      </w:tr>
      <w:tr>
        <w:tc>
          <w:tcPr/>
          <w:p>
            <w:pPr>
              <w:pStyle w:val="Compact"/>
              <w:jc w:val="left"/>
            </w:pPr>
            <w:r>
              <w:t xml:space="preserve">VAT (6% – Financial Services, PRC)</w:t>
            </w:r>
          </w:p>
        </w:tc>
        <w:tc>
          <w:tcPr/>
          <w:p>
            <w:pPr>
              <w:pStyle w:val="Compact"/>
              <w:jc w:val="left"/>
            </w:pPr>
            <w:r>
              <w:t xml:space="preserve">35,160.00</w:t>
            </w:r>
          </w:p>
        </w:tc>
      </w:tr>
      <w:tr>
        <w:tc>
          <w:tcPr/>
          <w:p>
            <w:pPr>
              <w:pStyle w:val="Compact"/>
              <w:jc w:val="left"/>
            </w:pPr>
            <w:r>
              <w:t xml:space="preserve">Service Surcharge (Guangzhou Municipal Fee)</w:t>
            </w:r>
          </w:p>
        </w:tc>
        <w:tc>
          <w:tcPr/>
          <w:p>
            <w:pPr>
              <w:pStyle w:val="Compact"/>
              <w:jc w:val="left"/>
            </w:pPr>
            <w:r>
              <w:t xml:space="preserve">2,930.00</w:t>
            </w:r>
          </w:p>
        </w:tc>
      </w:tr>
      <w:tr>
        <w:tc>
          <w:tcPr/>
          <w:p>
            <w:pPr>
              <w:pStyle w:val="Compact"/>
              <w:jc w:val="left"/>
            </w:pPr>
            <w:r>
              <w:t xml:space="preserve">Grand Total Due</w:t>
            </w:r>
          </w:p>
        </w:tc>
        <w:tc>
          <w:tcPr/>
          <w:p>
            <w:pPr>
              <w:pStyle w:val="Compact"/>
              <w:jc w:val="left"/>
            </w:pPr>
            <w:r>
              <w:t xml:space="preserve">CNY 624,090.00</w:t>
            </w:r>
          </w:p>
        </w:tc>
      </w:tr>
    </w:tbl>
    <w:bookmarkStart w:id="22" w:name="invoice-notes-payment-instructions"/>
    <w:p>
      <w:pPr>
        <w:pStyle w:val="Heading3"/>
      </w:pPr>
      <w:r>
        <w:t xml:space="preserve">Invoice Notes &amp; Payment Instructions</w:t>
      </w:r>
    </w:p>
    <w:p>
      <w:pPr>
        <w:pStyle w:val="FirstParagraph"/>
      </w:pPr>
      <w:r>
        <w:rPr>
          <w:bCs/>
          <w:b/>
        </w:rPr>
        <w:t xml:space="preserve">Payment Method:</w:t>
      </w:r>
      <w:r>
        <w:t xml:space="preserve"> </w:t>
      </w:r>
      <w:r>
        <w:t xml:space="preserve">Wire transfer to the Banker's designated institutional account at Guangzhou International Banking Group, Branch Code 105581002345, Account No. 6228 4800 1234 5678. Please reference Invoice No. GZB-2025-04871 in the transfer memo.</w:t>
      </w:r>
    </w:p>
    <w:p>
      <w:pPr>
        <w:pStyle w:val="BodyText"/>
      </w:pPr>
      <w:r>
        <w:rPr>
          <w:bCs/>
          <w:b/>
        </w:rPr>
        <w:t xml:space="preserve">Payment Window:</w:t>
      </w:r>
      <w:r>
        <w:t xml:space="preserve"> </w:t>
      </w:r>
      <w:r>
        <w:t xml:space="preserve">This Invoice is payable within thirty (30) calendar days from the Invoice date. Late payments will incur a penalty of 0.05% per day as stipulated under the Master Banking Services Agreement executed in China Guangzhou on January 5, 2025.</w:t>
      </w:r>
    </w:p>
    <w:p>
      <w:pPr>
        <w:pStyle w:val="BodyText"/>
      </w:pPr>
      <w:r>
        <w:rPr>
          <w:bCs/>
          <w:b/>
        </w:rPr>
        <w:t xml:space="preserve">Tax Documentation:</w:t>
      </w:r>
      <w:r>
        <w:t xml:space="preserve"> </w:t>
      </w:r>
      <w:r>
        <w:t xml:space="preserve">A formal VAT special invoice (fapiao) will be issued by the Banker's finance department within five business days of confirmed payment receipt. The fapiao will be delivered electronically via the China Guangzhou electronic tax platform.</w:t>
      </w:r>
    </w:p>
    <w:p>
      <w:pPr>
        <w:pStyle w:val="BodyText"/>
      </w:pPr>
      <w:r>
        <w:rPr>
          <w:bCs/>
          <w:b/>
        </w:rPr>
        <w:t xml:space="preserve">Dispute Resolution:</w:t>
      </w:r>
      <w:r>
        <w:t xml:space="preserve"> </w:t>
      </w:r>
      <w:r>
        <w:t xml:space="preserve">Any discrepancy regarding this Invoice must be raised in writing to the undersigned Banker within fourteen (14) days of the Invoice date. Unresolved disputes shall be arbitrated under the rules of the China International Economic and Trade Arbitration Commission (CIETAC), Guangzhou Sub-Commission.</w:t>
      </w:r>
    </w:p>
    <w:bookmarkEnd w:id="22"/>
    <w:bookmarkStart w:id="23" w:name="terms-conditions-governing-this-invoice"/>
    <w:p>
      <w:pPr>
        <w:pStyle w:val="Heading3"/>
      </w:pPr>
      <w:r>
        <w:t xml:space="preserve">Terms &amp; Conditions Governing This Invoice</w:t>
      </w:r>
    </w:p>
    <w:p>
      <w:pPr>
        <w:pStyle w:val="FirstParagraph"/>
      </w:pPr>
      <w:r>
        <w:t xml:space="preserve">1. This Invoice constitutes a formal billing document issued by the undersigned Banker, Chen Wei, acting in his capacity as a licensed banking professional registered with the National Financial Regulatory Administration of the People's Republic of China. All services described herein were rendered at the Guangzhou branch office located in the Tianhe District of China Guangzhou.</w:t>
      </w:r>
    </w:p>
    <w:p>
      <w:pPr>
        <w:pStyle w:val="BodyText"/>
      </w:pPr>
      <w:r>
        <w:t xml:space="preserve">2. The Banker warrants that all financial services listed on this Invoice were performed in accordance with the applicable provisions of the Commercial Bank Law of the PRC, the Foreign Exchange Administration Regulations, and the operational guidelines of the People's Bank of China as they pertain to institutions operating in China Guangzhou.</w:t>
      </w:r>
    </w:p>
    <w:p>
      <w:pPr>
        <w:pStyle w:val="BodyText"/>
      </w:pPr>
      <w:r>
        <w:t xml:space="preserve">3. The client acknowledges receipt of this Invoice and agrees that the amounts stated are final and binding unless a written amendment is mutually executed by both parties. The Banker reserves the right to adjust future Invoice amounts in the event of regulatory fee changes imposed by the China Guangzhou municipal financial authority.</w:t>
      </w:r>
    </w:p>
    <w:p>
      <w:pPr>
        <w:pStyle w:val="BodyText"/>
      </w:pPr>
      <w:r>
        <w:t xml:space="preserve">4. Confidentiality: All financial data, transaction records, and client-specific information referenced in or associated with this Invoice shall be treated as strictly confidential by the Banker and shall not be disclosed to any third party without the prior written consent of the client, in compliance with the Personal Information Protection Law of the PRC.</w:t>
      </w:r>
    </w:p>
    <w:p>
      <w:pPr>
        <w:pStyle w:val="BodyText"/>
      </w:pPr>
      <w:r>
        <w:t xml:space="preserve">5. This Invoice is governed by the laws of the People's Republic of China. The exclusive jurisdiction for any litigation arising from this Invoice shall lie with the competent People's Court in Tianhe District, China Guangzhou.</w:t>
      </w:r>
    </w:p>
    <w:bookmarkEnd w:id="23"/>
    <w:p>
      <w:pPr>
        <w:pStyle w:val="BodyText"/>
      </w:pPr>
      <w:r>
        <w:rPr>
          <w:bCs/>
          <w:b/>
        </w:rPr>
        <w:t xml:space="preserve">Guangzhou International Banking Group</w:t>
      </w:r>
      <w:r>
        <w:t xml:space="preserve"> </w:t>
      </w:r>
      <w:r>
        <w:t xml:space="preserve">| Tower A, 388 Tianhe Road, Tianhe District, China Guangzhou, Guangdong 510620, PRC</w:t>
      </w:r>
    </w:p>
    <w:p>
      <w:pPr>
        <w:pStyle w:val="BodyText"/>
      </w:pPr>
      <w:r>
        <w:t xml:space="preserve">Unified Social Credit Code: 91440101MA5C8X2K7P | Banker License: GZ-BLK-2019-0042 | Regulated by NFRA</w:t>
      </w:r>
    </w:p>
    <w:p>
      <w:pPr>
        <w:pStyle w:val="BodyText"/>
      </w:pPr>
      <w:r>
        <w:t xml:space="preserve">This Invoice was generated electronically and is valid without a physical signature. For verification, contact the issuing Banker at the address above or via the bank's secure client portal.</w:t>
      </w:r>
    </w:p>
    <w:p>
      <w:pPr>
        <w:pStyle w:val="BodyText"/>
      </w:pPr>
      <w:r>
        <w:t xml:space="preserve">© 2025 Guangzhou International Banking Group. All rights reserved. Invoice GZB-2025-04871 – China Guangzhou.</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Banking Services - China Guangzhou</dc:title>
  <dc:creator/>
  <dc:language>en</dc:language>
  <cp:keywords/>
  <dcterms:created xsi:type="dcterms:W3CDTF">2026-10-10T08:06:25Z</dcterms:created>
  <dcterms:modified xsi:type="dcterms:W3CDTF">2026-10-10T08:06:25Z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