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invoice"/>
    <w:p>
      <w:pPr>
        <w:pStyle w:val="Heading1"/>
      </w:pPr>
      <w:r>
        <w:t xml:space="preserve">INVOICE</w:t>
      </w:r>
    </w:p>
    <w:p>
      <w:pPr>
        <w:pStyle w:val="FirstParagraph"/>
      </w:pPr>
      <w:r>
        <w:t xml:space="preserve">Professional Banking &amp; Financial Advisory Services</w:t>
      </w:r>
    </w:p>
    <w:p>
      <w:pPr>
        <w:pStyle w:val="BodyText"/>
      </w:pPr>
      <w:r>
        <w:t xml:space="preserve">Shanghai, China | 上海市, 中国</w:t>
      </w:r>
    </w:p>
    <w:bookmarkEnd w:id="20"/>
    <w:p>
      <w:pPr>
        <w:pStyle w:val="BodyText"/>
      </w:pPr>
      <w:r>
        <w:t xml:space="preserve">Invoice Number</w:t>
      </w:r>
    </w:p>
    <w:p>
      <w:pPr>
        <w:pStyle w:val="BodyText"/>
      </w:pPr>
      <w:r>
        <w:t xml:space="preserve">INV-SHA-2025-00487</w:t>
      </w:r>
    </w:p>
    <w:p>
      <w:pPr>
        <w:pStyle w:val="BodyText"/>
      </w:pPr>
      <w:r>
        <w:t xml:space="preserve">Date of Issue</w:t>
      </w:r>
    </w:p>
    <w:p>
      <w:pPr>
        <w:pStyle w:val="BodyText"/>
      </w:pPr>
      <w:r>
        <w:t xml:space="preserve">June 15, 2025</w:t>
      </w:r>
    </w:p>
    <w:p>
      <w:pPr>
        <w:pStyle w:val="BodyText"/>
      </w:pPr>
      <w:r>
        <w:t xml:space="preserve">Due Date</w:t>
      </w:r>
    </w:p>
    <w:p>
      <w:pPr>
        <w:pStyle w:val="BodyText"/>
      </w:pPr>
      <w:r>
        <w:t xml:space="preserve">July 15, 2025</w:t>
      </w:r>
    </w:p>
    <w:p>
      <w:pPr>
        <w:pStyle w:val="BodyText"/>
      </w:pPr>
      <w:r>
        <w:t xml:space="preserve">Issued By (Banker)</w:t>
      </w:r>
    </w:p>
    <w:p>
      <w:pPr>
        <w:pStyle w:val="BodyText"/>
      </w:pPr>
      <w:r>
        <w:t xml:space="preserve">Mr. Jonathan Wei Chen</w:t>
      </w:r>
    </w:p>
    <w:p>
      <w:pPr>
        <w:pStyle w:val="BodyText"/>
      </w:pPr>
      <w:r>
        <w:t xml:space="preserve">Senior Banker &amp; Financial Advisor</w:t>
      </w:r>
    </w:p>
    <w:p>
      <w:pPr>
        <w:pStyle w:val="BodyText"/>
      </w:pPr>
      <w:r>
        <w:t xml:space="preserve">Shanghai International Banking Center</w:t>
      </w:r>
    </w:p>
    <w:p>
      <w:pPr>
        <w:pStyle w:val="BodyText"/>
      </w:pPr>
      <w:r>
        <w:t xml:space="preserve">88 Century Avenue, Pudong New Area</w:t>
      </w:r>
    </w:p>
    <w:p>
      <w:pPr>
        <w:pStyle w:val="BodyText"/>
      </w:pPr>
      <w:r>
        <w:t xml:space="preserve">Shanghai, China 200120</w:t>
      </w:r>
    </w:p>
    <w:p>
      <w:pPr>
        <w:pStyle w:val="BodyText"/>
      </w:pPr>
      <w:r>
        <w:t xml:space="preserve">Tax ID: 91310000MA1K4X7B2R</w:t>
      </w:r>
    </w:p>
    <w:p>
      <w:pPr>
        <w:pStyle w:val="BodyText"/>
      </w:pPr>
      <w:r>
        <w:t xml:space="preserve">Billed To</w:t>
      </w:r>
    </w:p>
    <w:p>
      <w:pPr>
        <w:pStyle w:val="BodyText"/>
      </w:pPr>
      <w:r>
        <w:t xml:space="preserve">Meridian Global Trading Co., Ltd.</w:t>
      </w:r>
    </w:p>
    <w:p>
      <w:pPr>
        <w:pStyle w:val="BodyText"/>
      </w:pPr>
      <w:r>
        <w:t xml:space="preserve">Attn: Ms. Li Fang, CFO</w:t>
      </w:r>
    </w:p>
    <w:p>
      <w:pPr>
        <w:pStyle w:val="BodyText"/>
      </w:pPr>
      <w:r>
        <w:t xml:space="preserve">1200 Nanjing Road East, Huangpu District</w:t>
      </w:r>
    </w:p>
    <w:p>
      <w:pPr>
        <w:pStyle w:val="BodyText"/>
      </w:pPr>
      <w:r>
        <w:t xml:space="preserve">Shanghai, China 200001</w:t>
      </w:r>
    </w:p>
    <w:p>
      <w:pPr>
        <w:pStyle w:val="BodyText"/>
      </w:pPr>
      <w:r>
        <w:t xml:space="preserve">VAT No: 91310101MA1FL3K89P</w:t>
      </w:r>
    </w:p>
    <w:bookmarkStart w:id="21" w:name="Xcd7b1e2ce6f52bc752e2e41644da7217b46b381"/>
    <w:p>
      <w:pPr>
        <w:pStyle w:val="Heading2"/>
      </w:pPr>
      <w:r>
        <w:t xml:space="preserve">Description of Services Rendered by Banker in China Shanghai</w:t>
      </w:r>
    </w:p>
    <w:p>
      <w:pPr>
        <w:pStyle w:val="FirstParagraph"/>
      </w:pPr>
      <w:r>
        <w:t xml:space="preserve">This</w:t>
      </w:r>
      <w:r>
        <w:t xml:space="preserve"> </w:t>
      </w:r>
      <w:r>
        <w:t xml:space="preserve">Invoice</w:t>
      </w:r>
      <w:r>
        <w:t xml:space="preserve"> </w:t>
      </w:r>
      <w:r>
        <w:t xml:space="preserve">is issued by the undersigned</w:t>
      </w:r>
      <w:r>
        <w:t xml:space="preserve"> </w:t>
      </w:r>
      <w:r>
        <w:t xml:space="preserve">Banker</w:t>
      </w:r>
      <w:r>
        <w:t xml:space="preserve"> </w:t>
      </w:r>
      <w:r>
        <w:t xml:space="preserve">in accordance with the professional services agreement executed between the parties. The services described herein were rendered in the financial district of</w:t>
      </w:r>
      <w:r>
        <w:t xml:space="preserve"> </w:t>
      </w:r>
      <w:r>
        <w:t xml:space="preserve">China Shanghai</w:t>
      </w:r>
      <w:r>
        <w:t xml:space="preserve">, specifically within the Pudong New Area and the Lujiazui Financial Trade Zone. This</w:t>
      </w:r>
      <w:r>
        <w:t xml:space="preserve"> </w:t>
      </w:r>
      <w:r>
        <w:t xml:space="preserve">Invoice</w:t>
      </w:r>
      <w:r>
        <w:t xml:space="preserve"> </w:t>
      </w:r>
      <w:r>
        <w:t xml:space="preserve">constitutes the formal billing document for all banking advisory, portfolio management, and corporate treasury services provided by the</w:t>
      </w:r>
      <w:r>
        <w:t xml:space="preserve"> </w:t>
      </w:r>
      <w:r>
        <w:t xml:space="preserve">Banker</w:t>
      </w:r>
      <w:r>
        <w:t xml:space="preserve"> </w:t>
      </w:r>
      <w:r>
        <w:t xml:space="preserve">during the billing period of January 1, 2025, through May 31,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001</w:t>
            </w:r>
          </w:p>
        </w:tc>
        <w:tc>
          <w:tcPr/>
          <w:p>
            <w:pPr>
              <w:pStyle w:val="Compact"/>
              <w:jc w:val="left"/>
            </w:pPr>
            <w:r>
              <w:t xml:space="preserve">Corporate Treasury Management &amp; Cash Flow Advisory for Meridian Global Trading. The</w:t>
            </w:r>
            <w:r>
              <w:t xml:space="preserve"> </w:t>
            </w:r>
            <w:r>
              <w:t xml:space="preserve">Banker</w:t>
            </w:r>
            <w:r>
              <w:t xml:space="preserve"> </w:t>
            </w:r>
            <w:r>
              <w:t xml:space="preserve">provided comprehensive liquidity planning, multi-currency account structuring, and intercompany fund transfer optimization within the</w:t>
            </w:r>
            <w:r>
              <w:t xml:space="preserve"> </w:t>
            </w:r>
            <w:r>
              <w:t xml:space="preserve">China Shanghai</w:t>
            </w:r>
            <w:r>
              <w:t xml:space="preserve"> </w:t>
            </w:r>
            <w:r>
              <w:t xml:space="preserve">financial regulatory framework.</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1,800</w:t>
            </w:r>
          </w:p>
        </w:tc>
        <w:tc>
          <w:tcPr/>
          <w:p>
            <w:pPr>
              <w:pStyle w:val="Compact"/>
              <w:jc w:val="left"/>
            </w:pPr>
            <w:r>
              <w:t xml:space="preserve">216,000.00</w:t>
            </w:r>
          </w:p>
        </w:tc>
      </w:tr>
      <w:tr>
        <w:tc>
          <w:tcPr/>
          <w:p>
            <w:pPr>
              <w:pStyle w:val="Compact"/>
              <w:jc w:val="left"/>
            </w:pPr>
            <w:r>
              <w:t xml:space="preserve">002</w:t>
            </w:r>
          </w:p>
        </w:tc>
        <w:tc>
          <w:tcPr/>
          <w:p>
            <w:pPr>
              <w:pStyle w:val="Compact"/>
              <w:jc w:val="left"/>
            </w:pPr>
            <w:r>
              <w:t xml:space="preserve">Foreign Exchange Risk Hedging Strategy. The</w:t>
            </w:r>
            <w:r>
              <w:t xml:space="preserve"> </w:t>
            </w:r>
            <w:r>
              <w:t xml:space="preserve">Banker</w:t>
            </w:r>
            <w:r>
              <w:t xml:space="preserve"> </w:t>
            </w:r>
            <w:r>
              <w:t xml:space="preserve">designed and implemented a multi-layered FX hedging program utilizing forward contracts, options, and cross-currency swaps to protect the client's RMB/USD and RMB/EUR exposure. All instruments were executed through licensed banking institutions in</w:t>
            </w:r>
            <w:r>
              <w:t xml:space="preserve"> </w:t>
            </w:r>
            <w:r>
              <w:t xml:space="preserve">China Shanghai</w:t>
            </w:r>
            <w:r>
              <w:t xml:space="preserve">.</w:t>
            </w:r>
          </w:p>
        </w:tc>
        <w:tc>
          <w:tcPr/>
          <w:p>
            <w:pPr>
              <w:pStyle w:val="Compact"/>
              <w:jc w:val="left"/>
            </w:pPr>
            <w:r>
              <w:t xml:space="preserve">Feb – Apr 2025</w:t>
            </w:r>
          </w:p>
        </w:tc>
        <w:tc>
          <w:tcPr/>
          <w:p>
            <w:pPr>
              <w:pStyle w:val="Compact"/>
              <w:jc w:val="left"/>
            </w:pPr>
            <w:r>
              <w:t xml:space="preserve">85</w:t>
            </w:r>
          </w:p>
        </w:tc>
        <w:tc>
          <w:tcPr/>
          <w:p>
            <w:pPr>
              <w:pStyle w:val="Compact"/>
              <w:jc w:val="left"/>
            </w:pPr>
            <w:r>
              <w:t xml:space="preserve">2,200</w:t>
            </w:r>
          </w:p>
        </w:tc>
        <w:tc>
          <w:tcPr/>
          <w:p>
            <w:pPr>
              <w:pStyle w:val="Compact"/>
              <w:jc w:val="left"/>
            </w:pPr>
            <w:r>
              <w:t xml:space="preserve">187,000.00</w:t>
            </w:r>
          </w:p>
        </w:tc>
      </w:tr>
      <w:tr>
        <w:tc>
          <w:tcPr/>
          <w:p>
            <w:pPr>
              <w:pStyle w:val="Compact"/>
              <w:jc w:val="left"/>
            </w:pPr>
            <w:r>
              <w:t xml:space="preserve">003</w:t>
            </w:r>
          </w:p>
        </w:tc>
        <w:tc>
          <w:tcPr/>
          <w:p>
            <w:pPr>
              <w:pStyle w:val="Compact"/>
              <w:jc w:val="left"/>
            </w:pPr>
            <w:r>
              <w:t xml:space="preserve">Trade Finance &amp; Letter of Credit Facilitation. The</w:t>
            </w:r>
            <w:r>
              <w:t xml:space="preserve"> </w:t>
            </w:r>
            <w:r>
              <w:t xml:space="preserve">Banker</w:t>
            </w:r>
            <w:r>
              <w:t xml:space="preserve"> </w:t>
            </w:r>
            <w:r>
              <w:t xml:space="preserve">coordinated the issuance, amendment, and settlement of 14 Letters of Credit and 6 Bank Guarantees for the client's import-export operations. All documentation was processed in compliance with UCP 600 and the People's Bank of China regulations applicable in</w:t>
            </w:r>
            <w:r>
              <w:t xml:space="preserve"> </w:t>
            </w:r>
            <w:r>
              <w:t xml:space="preserve">China Shanghai</w:t>
            </w:r>
            <w:r>
              <w:t xml:space="preserve">.</w:t>
            </w:r>
          </w:p>
        </w:tc>
        <w:tc>
          <w:tcPr/>
          <w:p>
            <w:pPr>
              <w:pStyle w:val="Compact"/>
              <w:jc w:val="left"/>
            </w:pPr>
            <w:r>
              <w:t xml:space="preserve">Jan – May 2025</w:t>
            </w:r>
          </w:p>
        </w:tc>
        <w:tc>
          <w:tcPr/>
          <w:p>
            <w:pPr>
              <w:pStyle w:val="Compact"/>
              <w:jc w:val="left"/>
            </w:pPr>
            <w:r>
              <w:t xml:space="preserve">95</w:t>
            </w:r>
          </w:p>
        </w:tc>
        <w:tc>
          <w:tcPr/>
          <w:p>
            <w:pPr>
              <w:pStyle w:val="Compact"/>
              <w:jc w:val="left"/>
            </w:pPr>
            <w:r>
              <w:t xml:space="preserve">1,600</w:t>
            </w:r>
          </w:p>
        </w:tc>
        <w:tc>
          <w:tcPr/>
          <w:p>
            <w:pPr>
              <w:pStyle w:val="Compact"/>
              <w:jc w:val="left"/>
            </w:pPr>
            <w:r>
              <w:t xml:space="preserve">152,000.00</w:t>
            </w:r>
          </w:p>
        </w:tc>
      </w:tr>
      <w:tr>
        <w:tc>
          <w:tcPr/>
          <w:p>
            <w:pPr>
              <w:pStyle w:val="Compact"/>
              <w:jc w:val="left"/>
            </w:pPr>
            <w:r>
              <w:t xml:space="preserve">004</w:t>
            </w:r>
          </w:p>
        </w:tc>
        <w:tc>
          <w:tcPr/>
          <w:p>
            <w:pPr>
              <w:pStyle w:val="Compact"/>
              <w:jc w:val="left"/>
            </w:pPr>
            <w:r>
              <w:t xml:space="preserve">Capital Market Advisory &amp; Bond Issuance Support. The</w:t>
            </w:r>
            <w:r>
              <w:t xml:space="preserve"> </w:t>
            </w:r>
            <w:r>
              <w:t xml:space="preserve">Banker</w:t>
            </w:r>
            <w:r>
              <w:t xml:space="preserve"> </w:t>
            </w:r>
            <w:r>
              <w:t xml:space="preserve">advised on the structuring of a 500 million CNY corporate bond issuance, including underwriter coordination, prospectus review, and regulatory filing with the China Securities Regulatory Commission (CSRC) in</w:t>
            </w:r>
            <w:r>
              <w:t xml:space="preserve"> </w:t>
            </w:r>
            <w:r>
              <w:t xml:space="preserve">China Shanghai</w:t>
            </w:r>
            <w:r>
              <w:t xml:space="preserve">.</w:t>
            </w:r>
          </w:p>
        </w:tc>
        <w:tc>
          <w:tcPr/>
          <w:p>
            <w:pPr>
              <w:pStyle w:val="Compact"/>
              <w:jc w:val="left"/>
            </w:pPr>
            <w:r>
              <w:t xml:space="preserve">Mar – May 2025</w:t>
            </w:r>
          </w:p>
        </w:tc>
        <w:tc>
          <w:tcPr/>
          <w:p>
            <w:pPr>
              <w:pStyle w:val="Compact"/>
              <w:jc w:val="left"/>
            </w:pPr>
            <w:r>
              <w:t xml:space="preserve">110</w:t>
            </w:r>
          </w:p>
        </w:tc>
        <w:tc>
          <w:tcPr/>
          <w:p>
            <w:pPr>
              <w:pStyle w:val="Compact"/>
              <w:jc w:val="left"/>
            </w:pPr>
            <w:r>
              <w:t xml:space="preserve">2,500</w:t>
            </w:r>
          </w:p>
        </w:tc>
        <w:tc>
          <w:tcPr/>
          <w:p>
            <w:pPr>
              <w:pStyle w:val="Compact"/>
              <w:jc w:val="left"/>
            </w:pPr>
            <w:r>
              <w:t xml:space="preserve">275,000.00</w:t>
            </w:r>
          </w:p>
        </w:tc>
      </w:tr>
      <w:tr>
        <w:tc>
          <w:tcPr/>
          <w:p>
            <w:pPr>
              <w:pStyle w:val="Compact"/>
              <w:jc w:val="left"/>
            </w:pPr>
            <w:r>
              <w:t xml:space="preserve">005</w:t>
            </w:r>
          </w:p>
        </w:tc>
        <w:tc>
          <w:tcPr/>
          <w:p>
            <w:pPr>
              <w:pStyle w:val="Compact"/>
              <w:jc w:val="left"/>
            </w:pPr>
            <w:r>
              <w:t xml:space="preserve">Quarterly Financial Reporting &amp; Regulatory Compliance Review. The</w:t>
            </w:r>
            <w:r>
              <w:t xml:space="preserve"> </w:t>
            </w:r>
            <w:r>
              <w:t xml:space="preserve">Banker</w:t>
            </w:r>
            <w:r>
              <w:t xml:space="preserve"> </w:t>
            </w:r>
            <w:r>
              <w:t xml:space="preserve">conducted three quarterly reviews of the client's banking relationships, ensured compliance with the Shanghai Stock Exchange listing requirements, and prepared regulatory filings for the National Financial Regulatory Administration (NFRA) office in</w:t>
            </w:r>
            <w:r>
              <w:t xml:space="preserve"> </w:t>
            </w:r>
            <w:r>
              <w:t xml:space="preserve">China Shanghai</w:t>
            </w:r>
            <w:r>
              <w:t xml:space="preserve">.</w:t>
            </w:r>
          </w:p>
        </w:tc>
        <w:tc>
          <w:tcPr/>
          <w:p>
            <w:pPr>
              <w:pStyle w:val="Compact"/>
              <w:jc w:val="left"/>
            </w:pPr>
            <w:r>
              <w:t xml:space="preserve">Jan – May 2025</w:t>
            </w:r>
          </w:p>
        </w:tc>
        <w:tc>
          <w:tcPr/>
          <w:p>
            <w:pPr>
              <w:pStyle w:val="Compact"/>
              <w:jc w:val="left"/>
            </w:pPr>
            <w:r>
              <w:t xml:space="preserve">60</w:t>
            </w:r>
          </w:p>
        </w:tc>
        <w:tc>
          <w:tcPr/>
          <w:p>
            <w:pPr>
              <w:pStyle w:val="Compact"/>
              <w:jc w:val="left"/>
            </w:pPr>
            <w:r>
              <w:t xml:space="preserve">1,400</w:t>
            </w:r>
          </w:p>
        </w:tc>
        <w:tc>
          <w:tcPr/>
          <w:p>
            <w:pPr>
              <w:pStyle w:val="Compact"/>
              <w:jc w:val="left"/>
            </w:pPr>
            <w:r>
              <w:t xml:space="preserve">84,000.00</w:t>
            </w:r>
          </w:p>
        </w:tc>
      </w:tr>
      <w:tr>
        <w:tc>
          <w:tcPr/>
          <w:p>
            <w:pPr>
              <w:pStyle w:val="Compact"/>
              <w:jc w:val="left"/>
            </w:pPr>
            <w:r>
              <w:t xml:space="preserve">006</w:t>
            </w:r>
          </w:p>
        </w:tc>
        <w:tc>
          <w:tcPr/>
          <w:p>
            <w:pPr>
              <w:pStyle w:val="Compact"/>
              <w:jc w:val="left"/>
            </w:pPr>
            <w:r>
              <w:t xml:space="preserve">On-Site Banking Operations Audit &amp; Process Optimization. The</w:t>
            </w:r>
            <w:r>
              <w:t xml:space="preserve"> </w:t>
            </w:r>
            <w:r>
              <w:t xml:space="preserve">Banker</w:t>
            </w:r>
            <w:r>
              <w:t xml:space="preserve"> </w:t>
            </w:r>
            <w:r>
              <w:t xml:space="preserve">performed a full operational audit of the client's banking infrastructure, including SWIFT messaging protocols, anti-money laundering (AML) procedures, and KYC documentation standards as mandated for all financial institutions operating in</w:t>
            </w:r>
            <w:r>
              <w:t xml:space="preserve"> </w:t>
            </w:r>
            <w:r>
              <w:t xml:space="preserve">China Shanghai</w:t>
            </w:r>
            <w:r>
              <w:t xml:space="preserve">.</w:t>
            </w:r>
          </w:p>
        </w:tc>
        <w:tc>
          <w:tcPr/>
          <w:p>
            <w:pPr>
              <w:pStyle w:val="Compact"/>
              <w:jc w:val="left"/>
            </w:pPr>
            <w:r>
              <w:t xml:space="preserve">Apr 2025</w:t>
            </w:r>
          </w:p>
        </w:tc>
        <w:tc>
          <w:tcPr/>
          <w:p>
            <w:pPr>
              <w:pStyle w:val="Compact"/>
              <w:jc w:val="left"/>
            </w:pPr>
            <w:r>
              <w:t xml:space="preserve">40</w:t>
            </w:r>
          </w:p>
        </w:tc>
        <w:tc>
          <w:tcPr/>
          <w:p>
            <w:pPr>
              <w:pStyle w:val="Compact"/>
              <w:jc w:val="left"/>
            </w:pPr>
            <w:r>
              <w:t xml:space="preserve">2,000</w:t>
            </w:r>
          </w:p>
        </w:tc>
        <w:tc>
          <w:tcPr/>
          <w:p>
            <w:pPr>
              <w:pStyle w:val="Compact"/>
              <w:jc w:val="left"/>
            </w:pPr>
            <w:r>
              <w:t xml:space="preserve">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994,000.00 CNY</w:t>
            </w:r>
          </w:p>
        </w:tc>
      </w:tr>
      <w:tr>
        <w:tc>
          <w:tcPr/>
          <w:p>
            <w:pPr>
              <w:pStyle w:val="Compact"/>
              <w:jc w:val="left"/>
            </w:pPr>
            <w:r>
              <w:t xml:space="preserve">VAT (6% – Financial Services, PRC)</w:t>
            </w:r>
          </w:p>
        </w:tc>
        <w:tc>
          <w:tcPr/>
          <w:p>
            <w:pPr>
              <w:pStyle w:val="Compact"/>
              <w:jc w:val="right"/>
            </w:pPr>
            <w:r>
              <w:t xml:space="preserve">59,640.00 CNY</w:t>
            </w:r>
          </w:p>
        </w:tc>
      </w:tr>
      <w:tr>
        <w:tc>
          <w:tcPr/>
          <w:p>
            <w:pPr>
              <w:pStyle w:val="Compact"/>
              <w:jc w:val="left"/>
            </w:pPr>
            <w:r>
              <w:t xml:space="preserve">Withholding Tax (10% – Non-Resident Services)</w:t>
            </w:r>
          </w:p>
        </w:tc>
        <w:tc>
          <w:tcPr/>
          <w:p>
            <w:pPr>
              <w:pStyle w:val="Compact"/>
              <w:jc w:val="right"/>
            </w:pPr>
            <w:r>
              <w:t xml:space="preserve">(99,400.00) CNY</w:t>
            </w:r>
          </w:p>
        </w:tc>
      </w:tr>
      <w:tr>
        <w:tc>
          <w:tcPr/>
          <w:p>
            <w:pPr>
              <w:pStyle w:val="Compact"/>
              <w:jc w:val="left"/>
            </w:pPr>
            <w:r>
              <w:t xml:space="preserve">Grand Total Due</w:t>
            </w:r>
          </w:p>
        </w:tc>
        <w:tc>
          <w:tcPr/>
          <w:p>
            <w:pPr>
              <w:pStyle w:val="Compact"/>
              <w:jc w:val="right"/>
            </w:pPr>
            <w:r>
              <w:t xml:space="preserve">954,240.00 CNY</w:t>
            </w:r>
          </w:p>
        </w:tc>
      </w:tr>
    </w:tbl>
    <w:bookmarkEnd w:id="21"/>
    <w:bookmarkStart w:id="23" w:name="payment-terms-instructions"/>
    <w:p>
      <w:pPr>
        <w:pStyle w:val="Heading2"/>
      </w:pPr>
      <w:r>
        <w:t xml:space="preserve">Payment Terms &amp; Instructions</w:t>
      </w:r>
    </w:p>
    <w:p>
      <w:pPr>
        <w:pStyle w:val="FirstParagraph"/>
      </w:pPr>
      <w:r>
        <w:t xml:space="preserve">This</w:t>
      </w:r>
      <w:r>
        <w:t xml:space="preserve"> </w:t>
      </w:r>
      <w:r>
        <w:t xml:space="preserve">Invoice</w:t>
      </w:r>
      <w:r>
        <w:t xml:space="preserve"> </w:t>
      </w:r>
      <w:r>
        <w:t xml:space="preserve">is payable within thirty (30) calendar days from the date of issue. Payment shall be remitted via wire transfer to the following account held at Industrial and Commercial Bank of China (ICBC), Shanghai Pudong Branch,</w:t>
      </w:r>
      <w:r>
        <w:t xml:space="preserve"> </w:t>
      </w:r>
      <w:r>
        <w:t xml:space="preserve">China Shanghai</w:t>
      </w:r>
      <w:r>
        <w:t xml:space="preserve">:</w:t>
      </w:r>
    </w:p>
    <w:p>
      <w:pPr>
        <w:pStyle w:val="BodyText"/>
      </w:pPr>
      <w:r>
        <w:rPr>
          <w:bCs/>
          <w:b/>
        </w:rPr>
        <w:t xml:space="preserve">Account Name:</w:t>
      </w:r>
      <w:r>
        <w:t xml:space="preserve"> </w:t>
      </w:r>
      <w:r>
        <w:t xml:space="preserve">Jonathan Wei Chen – Professional Banking Services</w:t>
      </w:r>
      <w:r>
        <w:br/>
      </w:r>
      <w:r>
        <w:rPr>
          <w:bCs/>
          <w:b/>
        </w:rPr>
        <w:t xml:space="preserve">Bank:</w:t>
      </w:r>
      <w:r>
        <w:t xml:space="preserve"> </w:t>
      </w:r>
      <w:r>
        <w:t xml:space="preserve">ICBC, Shanghai Pudong Branch</w:t>
      </w:r>
      <w:r>
        <w:br/>
      </w:r>
      <w:r>
        <w:rPr>
          <w:bCs/>
          <w:b/>
        </w:rPr>
        <w:t xml:space="preserve">Account No.:</w:t>
      </w:r>
      <w:r>
        <w:t xml:space="preserve"> </w:t>
      </w:r>
      <w:r>
        <w:t xml:space="preserve">6222 0200 1100 8877 665</w:t>
      </w:r>
      <w:r>
        <w:br/>
      </w:r>
      <w:r>
        <w:rPr>
          <w:bCs/>
          <w:b/>
        </w:rPr>
        <w:t xml:space="preserve">SWIFT Code:</w:t>
      </w:r>
      <w:r>
        <w:t xml:space="preserve"> </w:t>
      </w:r>
      <w:r>
        <w:t xml:space="preserve">ICBKCNBJSHC</w:t>
      </w:r>
      <w:r>
        <w:br/>
      </w:r>
      <w:r>
        <w:rPr>
          <w:bCs/>
          <w:b/>
        </w:rPr>
        <w:t xml:space="preserve">Reference:</w:t>
      </w:r>
      <w:r>
        <w:t xml:space="preserve"> </w:t>
      </w:r>
      <w:r>
        <w:t xml:space="preserve">INV-SHA-2025-00487</w:t>
      </w:r>
    </w:p>
    <w:p>
      <w:pPr>
        <w:pStyle w:val="BodyText"/>
      </w:pPr>
      <w:r>
        <w:t xml:space="preserve">All payments must be made in Renminbi (CNY/RMB). Late payments shall accrue interest at the rate of 0.05% per day as stipulated under the People's Republic of China Civil Code. This</w:t>
      </w:r>
      <w:r>
        <w:t xml:space="preserve"> </w:t>
      </w:r>
      <w:r>
        <w:t xml:space="preserve">Invoice</w:t>
      </w:r>
      <w:r>
        <w:t xml:space="preserve"> </w:t>
      </w:r>
      <w:r>
        <w:t xml:space="preserve">is valid for 90 days from the date of issue. The</w:t>
      </w:r>
      <w:r>
        <w:t xml:space="preserve"> </w:t>
      </w:r>
      <w:r>
        <w:t xml:space="preserve">Banker</w:t>
      </w:r>
      <w:r>
        <w:t xml:space="preserve"> </w:t>
      </w:r>
      <w:r>
        <w:t xml:space="preserve">reserves the right to suspend ongoing services if payment is not received by the due date specified above.</w:t>
      </w:r>
    </w:p>
    <w:bookmarkStart w:id="22" w:name="important-notes-terms"/>
    <w:p>
      <w:pPr>
        <w:pStyle w:val="Heading3"/>
      </w:pPr>
      <w:r>
        <w:t xml:space="preserve">Important Notes &amp; Terms</w:t>
      </w:r>
    </w:p>
    <w:p>
      <w:pPr>
        <w:pStyle w:val="FirstParagraph"/>
      </w:pPr>
      <w:r>
        <w:t xml:space="preserve">1. This</w:t>
      </w:r>
      <w:r>
        <w:t xml:space="preserve"> </w:t>
      </w:r>
      <w:r>
        <w:t xml:space="preserve">Invoice</w:t>
      </w:r>
      <w:r>
        <w:t xml:space="preserve"> </w:t>
      </w:r>
      <w:r>
        <w:t xml:space="preserve">is issued in accordance with the Accounting Law of the People's Republic of China and the relevant tax regulations of the State Taxation Administration, Shanghai Municipal Tax Bureau,</w:t>
      </w:r>
      <w:r>
        <w:t xml:space="preserve"> </w:t>
      </w:r>
      <w:r>
        <w:t xml:space="preserve">China Shanghai</w:t>
      </w:r>
      <w:r>
        <w:t xml:space="preserve">.</w:t>
      </w:r>
    </w:p>
    <w:p>
      <w:pPr>
        <w:pStyle w:val="BodyText"/>
      </w:pPr>
      <w:r>
        <w:t xml:space="preserve">2. The</w:t>
      </w:r>
      <w:r>
        <w:t xml:space="preserve"> </w:t>
      </w:r>
      <w:r>
        <w:t xml:space="preserve">Banker</w:t>
      </w:r>
      <w:r>
        <w:t xml:space="preserve"> </w:t>
      </w:r>
      <w:r>
        <w:t xml:space="preserve">confirms that all services rendered were performed in full compliance with the Banking Law of the PRC, the Foreign Exchange Management Regulations, and all applicable financial regulations enforced by the People's Bank of China and the National Financial Regulatory Administration in</w:t>
      </w:r>
      <w:r>
        <w:t xml:space="preserve"> </w:t>
      </w:r>
      <w:r>
        <w:t xml:space="preserve">China Shanghai</w:t>
      </w:r>
      <w:r>
        <w:t xml:space="preserve">.</w:t>
      </w:r>
    </w:p>
    <w:p>
      <w:pPr>
        <w:pStyle w:val="BodyText"/>
      </w:pPr>
      <w:r>
        <w:t xml:space="preserve">3. This</w:t>
      </w:r>
      <w:r>
        <w:t xml:space="preserve"> </w:t>
      </w:r>
      <w:r>
        <w:t xml:space="preserve">Invoice</w:t>
      </w:r>
      <w:r>
        <w:t xml:space="preserve"> </w:t>
      </w:r>
      <w:r>
        <w:t xml:space="preserve">does not constitute a guarantee of investment returns. All advisory services provided by the</w:t>
      </w:r>
      <w:r>
        <w:t xml:space="preserve"> </w:t>
      </w:r>
      <w:r>
        <w:t xml:space="preserve">Banker</w:t>
      </w:r>
      <w:r>
        <w:t xml:space="preserve"> </w:t>
      </w:r>
      <w:r>
        <w:t xml:space="preserve">are subject to market conditions and regulatory changes within the</w:t>
      </w:r>
      <w:r>
        <w:t xml:space="preserve"> </w:t>
      </w:r>
      <w:r>
        <w:t xml:space="preserve">China Shanghai</w:t>
      </w:r>
      <w:r>
        <w:t xml:space="preserve"> </w:t>
      </w:r>
      <w:r>
        <w:t xml:space="preserve">financial ecosystem.</w:t>
      </w:r>
    </w:p>
    <w:p>
      <w:pPr>
        <w:pStyle w:val="BodyText"/>
      </w:pPr>
      <w:r>
        <w:t xml:space="preserve">4. The client acknowledges that the</w:t>
      </w:r>
      <w:r>
        <w:t xml:space="preserve"> </w:t>
      </w:r>
      <w:r>
        <w:t xml:space="preserve">Banker</w:t>
      </w:r>
      <w:r>
        <w:t xml:space="preserve"> </w:t>
      </w:r>
      <w:r>
        <w:t xml:space="preserve">operates as an independent professional and is not an employee of any single banking institution. All banking products referenced in this</w:t>
      </w:r>
      <w:r>
        <w:t xml:space="preserve"> </w:t>
      </w:r>
      <w:r>
        <w:t xml:space="preserve">Invoice</w:t>
      </w:r>
      <w:r>
        <w:t xml:space="preserve"> </w:t>
      </w:r>
      <w:r>
        <w:t xml:space="preserve">were sourced from multiple licensed financial institutions in</w:t>
      </w:r>
      <w:r>
        <w:t xml:space="preserve"> </w:t>
      </w:r>
      <w:r>
        <w:t xml:space="preserve">China Shanghai</w:t>
      </w:r>
      <w:r>
        <w:t xml:space="preserve">.</w:t>
      </w:r>
    </w:p>
    <w:p>
      <w:pPr>
        <w:pStyle w:val="BodyText"/>
      </w:pPr>
      <w:r>
        <w:t xml:space="preserve">5. Disputes arising from this</w:t>
      </w:r>
      <w:r>
        <w:t xml:space="preserve"> </w:t>
      </w:r>
      <w:r>
        <w:t xml:space="preserve">Invoice</w:t>
      </w:r>
      <w:r>
        <w:t xml:space="preserve"> </w:t>
      </w:r>
      <w:r>
        <w:t xml:space="preserve">or the underlying services agreement shall be resolved through arbitration at the Shanghai International Arbitration Center (SHIAC),</w:t>
      </w:r>
      <w:r>
        <w:t xml:space="preserve"> </w:t>
      </w:r>
      <w:r>
        <w:t xml:space="preserve">China Shanghai</w:t>
      </w:r>
      <w:r>
        <w:t xml:space="preserve">, in accordance with its rules of procedure.</w:t>
      </w:r>
    </w:p>
    <w:bookmarkEnd w:id="22"/>
    <w:p>
      <w:pPr>
        <w:pStyle w:val="BodyText"/>
      </w:pPr>
      <w:r>
        <w:rPr>
          <w:bCs/>
          <w:b/>
        </w:rPr>
        <w:t xml:space="preserve">Prepared &amp; Issued By:</w:t>
      </w:r>
    </w:p>
    <w:p>
      <w:pPr>
        <w:pStyle w:val="BodyText"/>
      </w:pPr>
      <w:r>
        <w:t xml:space="preserve">Jonathan Wei Chen</w:t>
      </w:r>
    </w:p>
    <w:p>
      <w:pPr>
        <w:pStyle w:val="BodyText"/>
      </w:pPr>
      <w:r>
        <w:t xml:space="preserve">Senior Banker &amp; Financial Advisor</w:t>
      </w:r>
    </w:p>
    <w:p>
      <w:pPr>
        <w:pStyle w:val="BodyText"/>
      </w:pPr>
      <w:r>
        <w:t xml:space="preserve">License No: SH-BNK-2019-00342</w:t>
      </w:r>
    </w:p>
    <w:p>
      <w:pPr>
        <w:pStyle w:val="BodyText"/>
      </w:pPr>
      <w:r>
        <w:t xml:space="preserve">Date: June 15, 2025</w:t>
      </w:r>
    </w:p>
    <w:p>
      <w:pPr>
        <w:pStyle w:val="BodyText"/>
      </w:pPr>
      <w:r>
        <w:t xml:space="preserve">[Official Company Seal / 公章]</w:t>
      </w:r>
    </w:p>
    <w:p>
      <w:pPr>
        <w:pStyle w:val="BodyText"/>
      </w:pPr>
      <w:r>
        <w:rPr>
          <w:bCs/>
          <w:b/>
        </w:rPr>
        <w:t xml:space="preserve">Received &amp; Acknowledged By:</w:t>
      </w:r>
    </w:p>
    <w:p>
      <w:pPr>
        <w:pStyle w:val="BodyText"/>
      </w:pPr>
      <w:r>
        <w:t xml:space="preserve">_________________________</w:t>
      </w:r>
    </w:p>
    <w:p>
      <w:pPr>
        <w:pStyle w:val="BodyText"/>
      </w:pPr>
      <w:r>
        <w:t xml:space="preserve">Name: Li Fang, CFO</w:t>
      </w:r>
    </w:p>
    <w:p>
      <w:pPr>
        <w:pStyle w:val="BodyText"/>
      </w:pPr>
      <w:r>
        <w:t xml:space="preserve">Date: _______________</w:t>
      </w:r>
    </w:p>
    <w:p>
      <w:pPr>
        <w:pStyle w:val="BodyText"/>
      </w:pPr>
      <w:r>
        <w:rPr>
          <w:bCs/>
          <w:b/>
        </w:rPr>
        <w:t xml:space="preserve">INVOICE INV-SHA-2025-00487</w:t>
      </w:r>
      <w:r>
        <w:t xml:space="preserve"> </w:t>
      </w:r>
      <w:r>
        <w:t xml:space="preserve">| Issued by Jonathan Wei Chen, Banker | Shanghai, China</w:t>
      </w:r>
    </w:p>
    <w:p>
      <w:pPr>
        <w:pStyle w:val="BodyText"/>
      </w:pPr>
      <w:r>
        <w:t xml:space="preserve">This document is a legally binding</w:t>
      </w:r>
      <w:r>
        <w:t xml:space="preserve"> </w:t>
      </w:r>
      <w:r>
        <w:t xml:space="preserve">Invoice</w:t>
      </w:r>
      <w:r>
        <w:t xml:space="preserve"> </w:t>
      </w:r>
      <w:r>
        <w:t xml:space="preserve">for professional banking services rendered in</w:t>
      </w:r>
      <w:r>
        <w:t xml:space="preserve"> </w:t>
      </w:r>
      <w:r>
        <w:t xml:space="preserve">China Shanghai</w:t>
      </w:r>
      <w:r>
        <w:t xml:space="preserve">. Unauthorized reproduction or alteration of this</w:t>
      </w:r>
      <w:r>
        <w:t xml:space="preserve"> </w:t>
      </w:r>
      <w:r>
        <w:t xml:space="preserve">Invoice</w:t>
      </w:r>
      <w:r>
        <w:t xml:space="preserve"> </w:t>
      </w:r>
      <w:r>
        <w:t xml:space="preserve">is strictly prohibited under PRC law.</w:t>
      </w:r>
    </w:p>
    <w:p>
      <w:pPr>
        <w:pStyle w:val="BodyText"/>
      </w:pPr>
      <w:r>
        <w:t xml:space="preserve">For queries regarding this</w:t>
      </w:r>
      <w:r>
        <w:t xml:space="preserve"> </w:t>
      </w:r>
      <w:r>
        <w:t xml:space="preserve">Invoice</w:t>
      </w:r>
      <w:r>
        <w:t xml:space="preserve">, please contact the</w:t>
      </w:r>
      <w:r>
        <w:t xml:space="preserve"> </w:t>
      </w:r>
      <w:r>
        <w:t xml:space="preserve">Banker</w:t>
      </w:r>
      <w:r>
        <w:t xml:space="preserve"> </w:t>
      </w:r>
      <w:r>
        <w:t xml:space="preserve">at j.chen@shanghai-banking-advisory.cn | +86 21 6888 0000</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China Shanghai</dc:title>
  <dc:creator/>
  <dc:language>en</dc:language>
  <cp:keywords/>
  <dcterms:created xsi:type="dcterms:W3CDTF">2026-10-10T09:17:04Z</dcterms:created>
  <dcterms:modified xsi:type="dcterms:W3CDTF">2026-10-10T09:17:04Z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