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invoice"/>
    <w:p>
      <w:pPr>
        <w:pStyle w:val="Heading1"/>
      </w:pPr>
      <w:r>
        <w:t xml:space="preserve">INVOICE</w:t>
      </w:r>
    </w:p>
    <w:p>
      <w:pPr>
        <w:pStyle w:val="FirstParagraph"/>
      </w:pPr>
      <w:r>
        <w:t xml:space="preserve">Professional Banking Services — Alexandria, Egypt</w:t>
      </w:r>
    </w:p>
    <w:bookmarkEnd w:id="20"/>
    <w:bookmarkStart w:id="21" w:name="issued-by-the-banker"/>
    <w:p>
      <w:pPr>
        <w:pStyle w:val="Heading3"/>
      </w:pPr>
      <w:r>
        <w:t xml:space="preserve">Issued By (The Banker)</w:t>
      </w:r>
    </w:p>
    <w:p>
      <w:pPr>
        <w:pStyle w:val="FirstParagraph"/>
      </w:pPr>
      <w:r>
        <w:rPr>
          <w:bCs/>
          <w:b/>
        </w:rPr>
        <w:t xml:space="preserve">Mr. Tarek El-Sayed Mansour</w:t>
      </w:r>
    </w:p>
    <w:p>
      <w:pPr>
        <w:pStyle w:val="BodyText"/>
      </w:pPr>
      <w:r>
        <w:t xml:space="preserve">Senior Banker &amp; Financial Consultant</w:t>
      </w:r>
    </w:p>
    <w:p>
      <w:pPr>
        <w:pStyle w:val="BodyText"/>
      </w:pPr>
      <w:r>
        <w:t xml:space="preserve">Alexandria Banking &amp; Financial Advisory Group</w:t>
      </w:r>
    </w:p>
    <w:p>
      <w:pPr>
        <w:pStyle w:val="BodyText"/>
      </w:pPr>
      <w:r>
        <w:t xml:space="preserve">142 Corniche El-Nil Street, Smouha District</w:t>
      </w:r>
    </w:p>
    <w:p>
      <w:pPr>
        <w:pStyle w:val="BodyText"/>
      </w:pPr>
      <w:r>
        <w:t xml:space="preserve">Alexandria, 21526, Egypt</w:t>
      </w:r>
    </w:p>
    <w:p>
      <w:pPr>
        <w:pStyle w:val="BodyText"/>
      </w:pPr>
      <w:r>
        <w:t xml:space="preserve">Tel: +20 3 482 5567</w:t>
      </w:r>
    </w:p>
    <w:p>
      <w:pPr>
        <w:pStyle w:val="BodyText"/>
      </w:pPr>
      <w:r>
        <w:t xml:space="preserve">Email: t.mansour@alexbanking-eg.com</w:t>
      </w:r>
    </w:p>
    <w:p>
      <w:pPr>
        <w:pStyle w:val="BodyText"/>
      </w:pPr>
      <w:r>
        <w:t xml:space="preserve">CR Number: 114829-EG</w:t>
      </w:r>
    </w:p>
    <w:bookmarkEnd w:id="21"/>
    <w:bookmarkStart w:id="22" w:name="bill-to-client"/>
    <w:p>
      <w:pPr>
        <w:pStyle w:val="Heading3"/>
      </w:pPr>
      <w:r>
        <w:t xml:space="preserve">Bill To (Client)</w:t>
      </w:r>
    </w:p>
    <w:p>
      <w:pPr>
        <w:pStyle w:val="FirstParagraph"/>
      </w:pPr>
      <w:r>
        <w:rPr>
          <w:bCs/>
          <w:b/>
        </w:rPr>
        <w:t xml:space="preserve">Al-Ahram Trading &amp; Logistics Co.</w:t>
      </w:r>
    </w:p>
    <w:p>
      <w:pPr>
        <w:pStyle w:val="BodyText"/>
      </w:pPr>
      <w:r>
        <w:t xml:space="preserve">Attn: Ms. Nour El-Din Hassan</w:t>
      </w:r>
    </w:p>
    <w:p>
      <w:pPr>
        <w:pStyle w:val="BodyText"/>
      </w:pPr>
      <w:r>
        <w:t xml:space="preserve">Financial Director</w:t>
      </w:r>
    </w:p>
    <w:p>
      <w:pPr>
        <w:pStyle w:val="BodyText"/>
      </w:pPr>
      <w:r>
        <w:t xml:space="preserve">78 El-Montazah Road, El-Montazah</w:t>
      </w:r>
    </w:p>
    <w:p>
      <w:pPr>
        <w:pStyle w:val="BodyText"/>
      </w:pPr>
      <w:r>
        <w:t xml:space="preserve">Alexandria, 21543, Egypt</w:t>
      </w:r>
    </w:p>
    <w:p>
      <w:pPr>
        <w:pStyle w:val="BodyText"/>
      </w:pPr>
      <w:r>
        <w:t xml:space="preserve">Tel: +20 3 573 2210</w:t>
      </w:r>
    </w:p>
    <w:p>
      <w:pPr>
        <w:pStyle w:val="BodyText"/>
      </w:pPr>
      <w:r>
        <w:t xml:space="preserve">Email: finance@alahramtrading-eg.com</w:t>
      </w:r>
    </w:p>
    <w:p>
      <w:pPr>
        <w:pStyle w:val="BodyText"/>
      </w:pPr>
      <w:r>
        <w:t xml:space="preserve">Tax ID: 552-881-334</w:t>
      </w:r>
    </w:p>
    <w:bookmarkEnd w:id="22"/>
    <w:p>
      <w:pPr>
        <w:pStyle w:val="BodyText"/>
      </w:pPr>
      <w:r>
        <w:rPr>
          <w:bCs/>
          <w:b/>
        </w:rPr>
        <w:t xml:space="preserve">Invoice Number:</w:t>
      </w:r>
      <w:r>
        <w:t xml:space="preserve"> </w:t>
      </w:r>
      <w:r>
        <w:t xml:space="preserve">INV-ALX-2025-00472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 from issue)</w:t>
      </w:r>
    </w:p>
    <w:p>
      <w:pPr>
        <w:pStyle w:val="BodyText"/>
      </w:pPr>
      <w:r>
        <w:rPr>
          <w:bCs/>
          <w:b/>
        </w:rPr>
        <w:t xml:space="preserve">Service Period:</w:t>
      </w:r>
      <w:r>
        <w:t xml:space="preserve"> </w:t>
      </w:r>
      <w:r>
        <w:t xml:space="preserve">1 May 2025 – 31 May 2025</w:t>
      </w:r>
    </w:p>
    <w:p>
      <w:pPr>
        <w:pStyle w:val="BodyText"/>
      </w:pPr>
      <w:r>
        <w:rPr>
          <w:bCs/>
          <w:b/>
        </w:rPr>
        <w:t xml:space="preserve">Currency:</w:t>
      </w:r>
      <w:r>
        <w:t xml:space="preserve"> </w:t>
      </w:r>
      <w:r>
        <w:t xml:space="preserve">Egyptian Pound (EGP)</w:t>
      </w:r>
    </w:p>
    <w:p>
      <w:pPr>
        <w:pStyle w:val="BodyText"/>
      </w:pPr>
      <w:r>
        <w:rPr>
          <w:bCs/>
          <w:b/>
        </w:rPr>
        <w:t xml:space="preserve">Payment Method:</w:t>
      </w:r>
      <w:r>
        <w:t xml:space="preserve"> </w:t>
      </w:r>
      <w:r>
        <w:t xml:space="preserve">Bank Transfer — National Bank of Egypt, Alexandria Main Branch, Account No. 0045-7782-1193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w:t>
            </w:r>
          </w:p>
        </w:tc>
        <w:tc>
          <w:tcPr/>
          <w:p>
            <w:pPr>
              <w:pStyle w:val="Compact"/>
              <w:jc w:val="left"/>
            </w:pPr>
            <w:r>
              <w:t xml:space="preserve">Rate (EGP)</w:t>
            </w:r>
          </w:p>
        </w:tc>
        <w:tc>
          <w:tcPr/>
          <w:p>
            <w:pPr>
              <w:pStyle w:val="Compact"/>
              <w:jc w:val="left"/>
            </w:pPr>
            <w:r>
              <w:t xml:space="preserve">Hours / Units</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t xml:space="preserve">Corporate treasury management and cash-flow optimization advisory provided by the Banker for the month of May 2025, Alexandria operations</w:t>
            </w:r>
          </w:p>
        </w:tc>
        <w:tc>
          <w:tcPr/>
          <w:p>
            <w:pPr>
              <w:pStyle w:val="Compact"/>
              <w:jc w:val="left"/>
            </w:pPr>
            <w:r>
              <w:t xml:space="preserve">1,200.00</w:t>
            </w:r>
          </w:p>
        </w:tc>
        <w:tc>
          <w:tcPr/>
          <w:p>
            <w:pPr>
              <w:pStyle w:val="Compact"/>
              <w:jc w:val="left"/>
            </w:pPr>
            <w:r>
              <w:t xml:space="preserve">24 hrs</w:t>
            </w:r>
          </w:p>
        </w:tc>
        <w:tc>
          <w:tcPr/>
          <w:p>
            <w:pPr>
              <w:pStyle w:val="Compact"/>
              <w:jc w:val="left"/>
            </w:pPr>
            <w:r>
              <w:t xml:space="preserve">28,800.00</w:t>
            </w:r>
          </w:p>
        </w:tc>
        <w:tc>
          <w:tcPr/>
          <w:p>
            <w:pPr>
              <w:pStyle w:val="Compact"/>
              <w:jc w:val="left"/>
            </w:pPr>
            <w:r>
              <w:t xml:space="preserve">4,032.00</w:t>
            </w:r>
          </w:p>
        </w:tc>
      </w:tr>
      <w:tr>
        <w:tc>
          <w:tcPr/>
          <w:p>
            <w:pPr>
              <w:pStyle w:val="Compact"/>
              <w:jc w:val="left"/>
            </w:pPr>
            <w:r>
              <w:t xml:space="preserve">2</w:t>
            </w:r>
          </w:p>
        </w:tc>
        <w:tc>
          <w:tcPr/>
          <w:p>
            <w:pPr>
              <w:pStyle w:val="Compact"/>
              <w:jc w:val="left"/>
            </w:pPr>
            <w:r>
              <w:t xml:space="preserve">Foreign exchange risk assessment and hedging strategy consultation for import/export transactions through Alexandria Port</w:t>
            </w:r>
          </w:p>
        </w:tc>
        <w:tc>
          <w:tcPr/>
          <w:p>
            <w:pPr>
              <w:pStyle w:val="Compact"/>
              <w:jc w:val="left"/>
            </w:pPr>
            <w:r>
              <w:t xml:space="preserve">1,500.00</w:t>
            </w:r>
          </w:p>
        </w:tc>
        <w:tc>
          <w:tcPr/>
          <w:p>
            <w:pPr>
              <w:pStyle w:val="Compact"/>
              <w:jc w:val="left"/>
            </w:pPr>
            <w:r>
              <w:t xml:space="preserve">12 hrs</w:t>
            </w:r>
          </w:p>
        </w:tc>
        <w:tc>
          <w:tcPr/>
          <w:p>
            <w:pPr>
              <w:pStyle w:val="Compact"/>
              <w:jc w:val="left"/>
            </w:pPr>
            <w:r>
              <w:t xml:space="preserve">18,000.00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Loan restructuring and credit facility renegotiation with the Central Bank of Egypt-compliant lending institutions in Alexandria</w:t>
            </w:r>
          </w:p>
        </w:tc>
        <w:tc>
          <w:tcPr/>
          <w:p>
            <w:pPr>
              <w:pStyle w:val="Compact"/>
              <w:jc w:val="left"/>
            </w:pPr>
            <w:r>
              <w:t xml:space="preserve">2,000.00</w:t>
            </w:r>
          </w:p>
        </w:tc>
        <w:tc>
          <w:tcPr/>
          <w:p>
            <w:pPr>
              <w:pStyle w:val="Compact"/>
              <w:jc w:val="left"/>
            </w:pPr>
            <w:r>
              <w:t xml:space="preserve">8 hrs</w:t>
            </w:r>
          </w:p>
        </w:tc>
        <w:tc>
          <w:tcPr/>
          <w:p>
            <w:pPr>
              <w:pStyle w:val="Compact"/>
              <w:jc w:val="left"/>
            </w:pPr>
            <w:r>
              <w:t xml:space="preserve">16,000.00</w:t>
            </w:r>
          </w:p>
        </w:tc>
        <w:tc>
          <w:tcPr/>
          <w:p>
            <w:pPr>
              <w:pStyle w:val="Compact"/>
              <w:jc w:val="left"/>
            </w:pPr>
            <w:r>
              <w:t xml:space="preserve">2,240.00</w:t>
            </w:r>
          </w:p>
        </w:tc>
      </w:tr>
      <w:tr>
        <w:tc>
          <w:tcPr/>
          <w:p>
            <w:pPr>
              <w:pStyle w:val="Compact"/>
              <w:jc w:val="left"/>
            </w:pPr>
            <w:r>
              <w:t xml:space="preserve">4</w:t>
            </w:r>
          </w:p>
        </w:tc>
        <w:tc>
          <w:tcPr/>
          <w:p>
            <w:pPr>
              <w:pStyle w:val="Compact"/>
              <w:jc w:val="left"/>
            </w:pPr>
            <w:r>
              <w:t xml:space="preserve">Monthly banking compliance audit and regulatory reporting preparation in accordance with Egyptian Financial Regulatory Authority (FRA) guidelines</w:t>
            </w:r>
          </w:p>
        </w:tc>
        <w:tc>
          <w:tcPr/>
          <w:p>
            <w:pPr>
              <w:pStyle w:val="Compact"/>
              <w:jc w:val="left"/>
            </w:pPr>
            <w:r>
              <w:t xml:space="preserve">950.00</w:t>
            </w:r>
          </w:p>
        </w:tc>
        <w:tc>
          <w:tcPr/>
          <w:p>
            <w:pPr>
              <w:pStyle w:val="Compact"/>
              <w:jc w:val="left"/>
            </w:pPr>
            <w:r>
              <w:t xml:space="preserve">16 hrs</w:t>
            </w:r>
          </w:p>
        </w:tc>
        <w:tc>
          <w:tcPr/>
          <w:p>
            <w:pPr>
              <w:pStyle w:val="Compact"/>
              <w:jc w:val="left"/>
            </w:pPr>
            <w:r>
              <w:t xml:space="preserve">15,200.00</w:t>
            </w:r>
          </w:p>
        </w:tc>
        <w:tc>
          <w:tcPr/>
          <w:p>
            <w:pPr>
              <w:pStyle w:val="Compact"/>
              <w:jc w:val="left"/>
            </w:pPr>
            <w:r>
              <w:t xml:space="preserve">2,128.00</w:t>
            </w:r>
          </w:p>
        </w:tc>
      </w:tr>
      <w:tr>
        <w:tc>
          <w:tcPr/>
          <w:p>
            <w:pPr>
              <w:pStyle w:val="Compact"/>
              <w:jc w:val="left"/>
            </w:pPr>
            <w:r>
              <w:t xml:space="preserve">5</w:t>
            </w:r>
          </w:p>
        </w:tc>
        <w:tc>
          <w:tcPr/>
          <w:p>
            <w:pPr>
              <w:pStyle w:val="Compact"/>
              <w:jc w:val="left"/>
            </w:pPr>
            <w:r>
              <w:t xml:space="preserve">On-site banking relationship management and inter-bank coordination meetings held at the Alexandria Banking &amp; Financial Advisory Group office, Smouha</w:t>
            </w:r>
          </w:p>
        </w:tc>
        <w:tc>
          <w:tcPr/>
          <w:p>
            <w:pPr>
              <w:pStyle w:val="Compact"/>
              <w:jc w:val="left"/>
            </w:pPr>
            <w:r>
              <w:t xml:space="preserve">1,100.00</w:t>
            </w:r>
          </w:p>
        </w:tc>
        <w:tc>
          <w:tcPr/>
          <w:p>
            <w:pPr>
              <w:pStyle w:val="Compact"/>
              <w:jc w:val="left"/>
            </w:pPr>
            <w:r>
              <w:t xml:space="preserve">6 hrs</w:t>
            </w:r>
          </w:p>
        </w:tc>
        <w:tc>
          <w:tcPr/>
          <w:p>
            <w:pPr>
              <w:pStyle w:val="Compact"/>
              <w:jc w:val="left"/>
            </w:pPr>
            <w:r>
              <w:t xml:space="preserve">6,600.00</w:t>
            </w:r>
          </w:p>
        </w:tc>
        <w:tc>
          <w:tcPr/>
          <w:p>
            <w:pPr>
              <w:pStyle w:val="Compact"/>
              <w:jc w:val="left"/>
            </w:pPr>
            <w:r>
              <w:t xml:space="preserve">924.00</w:t>
            </w:r>
          </w:p>
        </w:tc>
      </w:tr>
      <w:tr>
        <w:tc>
          <w:tcPr/>
          <w:p>
            <w:pPr>
              <w:pStyle w:val="Compact"/>
              <w:jc w:val="left"/>
            </w:pPr>
            <w:r>
              <w:t xml:space="preserve">6</w:t>
            </w:r>
          </w:p>
        </w:tc>
        <w:tc>
          <w:tcPr/>
          <w:p>
            <w:pPr>
              <w:pStyle w:val="Compact"/>
              <w:jc w:val="left"/>
            </w:pPr>
            <w:r>
              <w:t xml:space="preserve">Preparation of quarterly banking performance report and strategic recommendations for the Alexandria branch network</w:t>
            </w:r>
          </w:p>
        </w:tc>
        <w:tc>
          <w:tcPr/>
          <w:p>
            <w:pPr>
              <w:pStyle w:val="Compact"/>
              <w:jc w:val="left"/>
            </w:pPr>
            <w:r>
              <w:t xml:space="preserve">1,800.00</w:t>
            </w:r>
          </w:p>
        </w:tc>
        <w:tc>
          <w:tcPr/>
          <w:p>
            <w:pPr>
              <w:pStyle w:val="Compact"/>
              <w:jc w:val="left"/>
            </w:pPr>
            <w:r>
              <w:t xml:space="preserve">4 hrs</w:t>
            </w:r>
          </w:p>
        </w:tc>
        <w:tc>
          <w:tcPr/>
          <w:p>
            <w:pPr>
              <w:pStyle w:val="Compact"/>
              <w:jc w:val="left"/>
            </w:pPr>
            <w:r>
              <w:t xml:space="preserve">7,200.00</w:t>
            </w:r>
          </w:p>
        </w:tc>
        <w:tc>
          <w:tcPr/>
          <w:p>
            <w:pPr>
              <w:pStyle w:val="Compact"/>
              <w:jc w:val="left"/>
            </w:pPr>
            <w:r>
              <w:t xml:space="preserve">1,008.00</w:t>
            </w:r>
          </w:p>
        </w:tc>
      </w:tr>
    </w:tbl>
    <w:p>
      <w:pPr>
        <w:pStyle w:val="BodyText"/>
      </w:pPr>
      <w:r>
        <w:t xml:space="preserve">Subtotal (EGP):</w:t>
      </w:r>
      <w:r>
        <w:t xml:space="preserve"> </w:t>
      </w:r>
      <w:r>
        <w:t xml:space="preserve">91,800.00</w:t>
      </w:r>
    </w:p>
    <w:p>
      <w:pPr>
        <w:pStyle w:val="BodyText"/>
      </w:pPr>
      <w:r>
        <w:t xml:space="preserve">VAT @ 14% (EGP):</w:t>
      </w:r>
      <w:r>
        <w:t xml:space="preserve"> </w:t>
      </w:r>
      <w:r>
        <w:t xml:space="preserve">12,852.00</w:t>
      </w:r>
    </w:p>
    <w:p>
      <w:pPr>
        <w:pStyle w:val="BodyText"/>
      </w:pPr>
      <w:r>
        <w:t xml:space="preserve">Discount — Long-term Client (5%):</w:t>
      </w:r>
      <w:r>
        <w:t xml:space="preserve"> </w:t>
      </w:r>
      <w:r>
        <w:t xml:space="preserve">(4,590.00)</w:t>
      </w:r>
    </w:p>
    <w:p>
      <w:pPr>
        <w:pStyle w:val="BodyText"/>
      </w:pPr>
      <w:r>
        <w:t xml:space="preserve">Grand Total Due (EGP):</w:t>
      </w:r>
      <w:r>
        <w:t xml:space="preserve"> </w:t>
      </w:r>
      <w:r>
        <w:t xml:space="preserve">100,062.00</w:t>
      </w:r>
    </w:p>
    <w:p>
      <w:pPr>
        <w:pStyle w:val="BodyText"/>
      </w:pPr>
      <w:r>
        <w:t xml:space="preserve">— This Invoice is issued by a licensed Banker operating under the regulatory framework of the Central Bank of Egypt, Alexandria Regional Office —</w:t>
      </w:r>
    </w:p>
    <w:bookmarkStart w:id="23" w:name="terms-conditions-notes"/>
    <w:p>
      <w:pPr>
        <w:pStyle w:val="Heading3"/>
      </w:pPr>
      <w:r>
        <w:t xml:space="preserve">Terms, Conditions &amp; Notes</w:t>
      </w:r>
    </w:p>
    <w:p>
      <w:pPr>
        <w:numPr>
          <w:ilvl w:val="0"/>
          <w:numId w:val="1001"/>
        </w:numPr>
        <w:pStyle w:val="Compact"/>
      </w:pPr>
      <w:r>
        <w:t xml:space="preserve">This Invoice is issued by the undersigned Banker, Mr. Tarek El-Sayed Mansour, acting in his capacity as a licensed banking professional registered with the Egyptian Financial Regulatory Authority (FRA) and operating within the jurisdiction of Alexandria, Egypt.</w:t>
      </w:r>
    </w:p>
    <w:p>
      <w:pPr>
        <w:numPr>
          <w:ilvl w:val="0"/>
          <w:numId w:val="1001"/>
        </w:numPr>
        <w:pStyle w:val="Compact"/>
      </w:pPr>
      <w:r>
        <w:t xml:space="preserve">Payment of the full Invoice amount of EGP 100,062.00 is due within thirty (30) calendar days from the Invoice date of 14 June 2025. Late payments shall incur a penalty interest rate of 2.5% per month, in compliance with Egyptian commercial banking regulations.</w:t>
      </w:r>
    </w:p>
    <w:p>
      <w:pPr>
        <w:numPr>
          <w:ilvl w:val="0"/>
          <w:numId w:val="1001"/>
        </w:numPr>
        <w:pStyle w:val="Compact"/>
      </w:pPr>
      <w:r>
        <w:t xml:space="preserve">All banking advisory services described in this Invoice were rendered exclusively for the Alexandria-based operations of Al-Ahram Trading &amp; Logistics Co. and shall not be transferred or assigned to any third party without prior written consent from the Banker.</w:t>
      </w:r>
    </w:p>
    <w:p>
      <w:pPr>
        <w:numPr>
          <w:ilvl w:val="0"/>
          <w:numId w:val="1001"/>
        </w:numPr>
        <w:pStyle w:val="Compact"/>
      </w:pPr>
      <w:r>
        <w:t xml:space="preserve">The Banker warrants that all financial analyses, risk assessments, and regulatory compliance reports included in this Invoice have been prepared in strict accordance with the standards set forth by the Central Bank of Egypt and the Egyptian Financial Regulatory Authority.</w:t>
      </w:r>
    </w:p>
    <w:p>
      <w:pPr>
        <w:numPr>
          <w:ilvl w:val="0"/>
          <w:numId w:val="1001"/>
        </w:numPr>
        <w:pStyle w:val="Compact"/>
      </w:pPr>
      <w:r>
        <w:t xml:space="preserve">Any disputes arising from this Invoice shall be subject to the exclusive jurisdiction of the competent commercial courts in Alexandria, Egypt, in accordance with Egyptian law.</w:t>
      </w:r>
    </w:p>
    <w:p>
      <w:pPr>
        <w:numPr>
          <w:ilvl w:val="0"/>
          <w:numId w:val="1001"/>
        </w:numPr>
        <w:pStyle w:val="Compact"/>
      </w:pPr>
      <w:r>
        <w:t xml:space="preserve">This Invoice constitutes a legally binding financial document. A copy of this Invoice must be retained by the client for a minimum period of five (5) years in compliance with Egyptian tax and commercial record-keeping regulations.</w:t>
      </w:r>
    </w:p>
    <w:p>
      <w:pPr>
        <w:numPr>
          <w:ilvl w:val="0"/>
          <w:numId w:val="1001"/>
        </w:numPr>
        <w:pStyle w:val="Compact"/>
      </w:pPr>
      <w:r>
        <w:t xml:space="preserve">For any questions regarding this Invoice or the banking services rendered, please contact the Banker directly at the Alexandria office address listed above or via the provided email address during standard business hours (Sunday through Thursday, 9:00 AM – 5:00 PM, Egypt Standard Time).</w:t>
      </w:r>
    </w:p>
    <w:bookmarkEnd w:id="23"/>
    <w:p>
      <w:pPr>
        <w:pStyle w:val="FirstParagraph"/>
      </w:pPr>
      <w:r>
        <w:rPr>
          <w:bCs/>
          <w:b/>
        </w:rPr>
        <w:t xml:space="preserve">Alexandria Banking &amp; Financial Advisory Group</w:t>
      </w:r>
      <w:r>
        <w:t xml:space="preserve"> </w:t>
      </w:r>
      <w:r>
        <w:t xml:space="preserve">— 142 Corniche El-Nil Street, Smouha, Alexandria 21526, Egypt</w:t>
      </w:r>
    </w:p>
    <w:p>
      <w:pPr>
        <w:pStyle w:val="BodyText"/>
      </w:pPr>
      <w:r>
        <w:t xml:space="preserve">Registered with the Central Bank of Egypt | FRA License No. BKR-2019-00347 | Tax Registration: 552-881-334</w:t>
      </w:r>
    </w:p>
    <w:p>
      <w:pPr>
        <w:pStyle w:val="BodyText"/>
      </w:pPr>
      <w:r>
        <w:t xml:space="preserve">This Invoice was generated electronically and is valid without a physical stamp. Thank you for your business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Alexandria, Egypt</dc:title>
  <dc:creator/>
  <dc:language>en</dc:language>
  <cp:keywords/>
  <dcterms:created xsi:type="dcterms:W3CDTF">2026-10-10T12:43:46Z</dcterms:created>
  <dcterms:modified xsi:type="dcterms:W3CDTF">2026-10-10T12:43:46Z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